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191770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Washington, DC 20549</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8-K</w:t>
      </w:r>
    </w:p>
    <w:p>
      <w:pPr>
        <w:spacing w:after="0" w:line="22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CURRENT REPORT</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Pursuant to Section 13 or 15(d) of</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the Securities Exchange Act of 1934</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February 14, 2022</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GWG Holdings, Inc.</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07"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3960" w:type="dxa"/>
            <w:vAlign w:val="bottom"/>
          </w:tcPr>
          <w:p>
            <w:pPr>
              <w:spacing w:after="0"/>
              <w:rPr>
                <w:sz w:val="20"/>
                <w:szCs w:val="20"/>
                <w:color w:val="auto"/>
              </w:rPr>
            </w:pPr>
          </w:p>
        </w:tc>
        <w:tc>
          <w:tcPr>
            <w:tcW w:w="7280" w:type="dxa"/>
            <w:vAlign w:val="bottom"/>
            <w:gridSpan w:val="3"/>
          </w:tcPr>
          <w:p>
            <w:pPr>
              <w:ind w:left="300"/>
              <w:spacing w:after="0"/>
              <w:rPr>
                <w:sz w:val="20"/>
                <w:szCs w:val="20"/>
                <w:color w:val="auto"/>
              </w:rPr>
            </w:pPr>
            <w:r>
              <w:rPr>
                <w:rFonts w:ascii="Arial" w:cs="Arial" w:eastAsia="Arial" w:hAnsi="Arial"/>
                <w:sz w:val="18"/>
                <w:szCs w:val="18"/>
                <w:color w:val="auto"/>
              </w:rPr>
              <w:t xml:space="preserve">Commission File Number: </w:t>
            </w:r>
            <w:r>
              <w:rPr>
                <w:rFonts w:ascii="Arial" w:cs="Arial" w:eastAsia="Arial" w:hAnsi="Arial"/>
                <w:sz w:val="18"/>
                <w:szCs w:val="18"/>
                <w:b w:val="1"/>
                <w:bCs w:val="1"/>
                <w:color w:val="auto"/>
              </w:rPr>
              <w:t>001-36615</w:t>
            </w:r>
          </w:p>
        </w:tc>
      </w:tr>
      <w:tr>
        <w:trPr>
          <w:trHeight w:val="453"/>
        </w:trPr>
        <w:tc>
          <w:tcPr>
            <w:tcW w:w="3960" w:type="dxa"/>
            <w:vAlign w:val="bottom"/>
          </w:tcPr>
          <w:p>
            <w:pPr>
              <w:jc w:val="center"/>
              <w:ind w:left="1410"/>
              <w:spacing w:after="0"/>
              <w:rPr>
                <w:sz w:val="20"/>
                <w:szCs w:val="20"/>
                <w:color w:val="auto"/>
              </w:rPr>
            </w:pPr>
            <w:r>
              <w:rPr>
                <w:rFonts w:ascii="Arial" w:cs="Arial" w:eastAsia="Arial" w:hAnsi="Arial"/>
                <w:sz w:val="18"/>
                <w:szCs w:val="18"/>
                <w:b w:val="1"/>
                <w:bCs w:val="1"/>
                <w:color w:val="auto"/>
                <w:w w:val="93"/>
              </w:rPr>
              <w:t>Delaware</w:t>
            </w:r>
          </w:p>
        </w:tc>
        <w:tc>
          <w:tcPr>
            <w:tcW w:w="7280" w:type="dxa"/>
            <w:vAlign w:val="bottom"/>
            <w:gridSpan w:val="3"/>
          </w:tcPr>
          <w:p>
            <w:pPr>
              <w:jc w:val="center"/>
              <w:ind w:left="1730"/>
              <w:spacing w:after="0"/>
              <w:rPr>
                <w:sz w:val="20"/>
                <w:szCs w:val="20"/>
                <w:color w:val="auto"/>
              </w:rPr>
            </w:pPr>
            <w:r>
              <w:rPr>
                <w:rFonts w:ascii="Arial" w:cs="Arial" w:eastAsia="Arial" w:hAnsi="Arial"/>
                <w:sz w:val="18"/>
                <w:szCs w:val="18"/>
                <w:b w:val="1"/>
                <w:bCs w:val="1"/>
                <w:color w:val="auto"/>
                <w:w w:val="89"/>
              </w:rPr>
              <w:t>26-2222607</w:t>
            </w:r>
          </w:p>
        </w:tc>
      </w:tr>
      <w:tr>
        <w:trPr>
          <w:trHeight w:val="202"/>
        </w:trPr>
        <w:tc>
          <w:tcPr>
            <w:tcW w:w="3960" w:type="dxa"/>
            <w:vAlign w:val="bottom"/>
            <w:tcBorders>
              <w:top w:val="single" w:sz="8" w:color="auto"/>
            </w:tcBorders>
          </w:tcPr>
          <w:p>
            <w:pPr>
              <w:jc w:val="center"/>
              <w:ind w:left="1370"/>
              <w:spacing w:after="0" w:line="201" w:lineRule="exact"/>
              <w:rPr>
                <w:sz w:val="20"/>
                <w:szCs w:val="20"/>
                <w:color w:val="auto"/>
              </w:rPr>
            </w:pPr>
            <w:r>
              <w:rPr>
                <w:rFonts w:ascii="Arial" w:cs="Arial" w:eastAsia="Arial" w:hAnsi="Arial"/>
                <w:sz w:val="18"/>
                <w:szCs w:val="18"/>
                <w:color w:val="auto"/>
                <w:w w:val="92"/>
              </w:rPr>
              <w:t>(State or other jurisdiction</w:t>
            </w:r>
          </w:p>
        </w:tc>
        <w:tc>
          <w:tcPr>
            <w:tcW w:w="1480" w:type="dxa"/>
            <w:vAlign w:val="bottom"/>
            <w:tcBorders>
              <w:top w:val="single" w:sz="8" w:color="auto"/>
            </w:tcBorders>
          </w:tcPr>
          <w:p>
            <w:pPr>
              <w:spacing w:after="0"/>
              <w:rPr>
                <w:sz w:val="17"/>
                <w:szCs w:val="17"/>
                <w:color w:val="auto"/>
              </w:rPr>
            </w:pPr>
          </w:p>
        </w:tc>
        <w:tc>
          <w:tcPr>
            <w:tcW w:w="340" w:type="dxa"/>
            <w:vAlign w:val="bottom"/>
          </w:tcPr>
          <w:p>
            <w:pPr>
              <w:spacing w:after="0"/>
              <w:rPr>
                <w:sz w:val="17"/>
                <w:szCs w:val="17"/>
                <w:color w:val="auto"/>
              </w:rPr>
            </w:pPr>
          </w:p>
        </w:tc>
        <w:tc>
          <w:tcPr>
            <w:tcW w:w="5460" w:type="dxa"/>
            <w:vAlign w:val="bottom"/>
            <w:tcBorders>
              <w:top w:val="single" w:sz="8" w:color="auto"/>
            </w:tcBorders>
          </w:tcPr>
          <w:p>
            <w:pPr>
              <w:jc w:val="center"/>
              <w:spacing w:after="0" w:line="201" w:lineRule="exact"/>
              <w:rPr>
                <w:sz w:val="20"/>
                <w:szCs w:val="20"/>
                <w:color w:val="auto"/>
              </w:rPr>
            </w:pPr>
            <w:r>
              <w:rPr>
                <w:rFonts w:ascii="Arial" w:cs="Arial" w:eastAsia="Arial" w:hAnsi="Arial"/>
                <w:sz w:val="18"/>
                <w:szCs w:val="18"/>
                <w:color w:val="auto"/>
                <w:w w:val="93"/>
              </w:rPr>
              <w:t>(IRS Employer</w:t>
            </w:r>
          </w:p>
        </w:tc>
      </w:tr>
      <w:tr>
        <w:trPr>
          <w:trHeight w:val="230"/>
        </w:trPr>
        <w:tc>
          <w:tcPr>
            <w:tcW w:w="3960" w:type="dxa"/>
            <w:vAlign w:val="bottom"/>
          </w:tcPr>
          <w:p>
            <w:pPr>
              <w:jc w:val="center"/>
              <w:ind w:left="1410"/>
              <w:spacing w:after="0"/>
              <w:rPr>
                <w:sz w:val="20"/>
                <w:szCs w:val="20"/>
                <w:color w:val="auto"/>
              </w:rPr>
            </w:pPr>
            <w:r>
              <w:rPr>
                <w:rFonts w:ascii="Arial" w:cs="Arial" w:eastAsia="Arial" w:hAnsi="Arial"/>
                <w:sz w:val="18"/>
                <w:szCs w:val="18"/>
                <w:color w:val="auto"/>
                <w:w w:val="93"/>
              </w:rPr>
              <w:t>of incorporation)</w:t>
            </w:r>
          </w:p>
        </w:tc>
        <w:tc>
          <w:tcPr>
            <w:tcW w:w="14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460" w:type="dxa"/>
            <w:vAlign w:val="bottom"/>
          </w:tcPr>
          <w:p>
            <w:pPr>
              <w:jc w:val="center"/>
              <w:spacing w:after="0"/>
              <w:rPr>
                <w:sz w:val="20"/>
                <w:szCs w:val="20"/>
                <w:color w:val="auto"/>
              </w:rPr>
            </w:pPr>
            <w:r>
              <w:rPr>
                <w:rFonts w:ascii="Arial" w:cs="Arial" w:eastAsia="Arial" w:hAnsi="Arial"/>
                <w:sz w:val="18"/>
                <w:szCs w:val="18"/>
                <w:color w:val="auto"/>
                <w:w w:val="95"/>
              </w:rPr>
              <w:t>Identification No.)</w:t>
            </w:r>
          </w:p>
        </w:tc>
      </w:tr>
    </w:tbl>
    <w:p>
      <w:pPr>
        <w:spacing w:after="0" w:line="198" w:lineRule="exact"/>
        <w:rPr>
          <w:sz w:val="24"/>
          <w:szCs w:val="24"/>
          <w:color w:val="auto"/>
        </w:rPr>
      </w:pPr>
    </w:p>
    <w:p>
      <w:pPr>
        <w:ind w:left="3520"/>
        <w:spacing w:after="0"/>
        <w:rPr>
          <w:sz w:val="20"/>
          <w:szCs w:val="20"/>
          <w:color w:val="auto"/>
        </w:rPr>
      </w:pPr>
      <w:r>
        <w:rPr>
          <w:rFonts w:ascii="Arial" w:cs="Arial" w:eastAsia="Arial" w:hAnsi="Arial"/>
          <w:sz w:val="18"/>
          <w:szCs w:val="18"/>
          <w:b w:val="1"/>
          <w:bCs w:val="1"/>
          <w:color w:val="auto"/>
        </w:rPr>
        <w:t>325 North St. Paul Street, Suite 2650, Dallas, TX 75201</w:t>
      </w:r>
    </w:p>
    <w:p>
      <w:pPr>
        <w:spacing w:after="0" w:line="27" w:lineRule="exact"/>
        <w:rPr>
          <w:sz w:val="24"/>
          <w:szCs w:val="24"/>
          <w:color w:val="auto"/>
        </w:rPr>
      </w:pPr>
    </w:p>
    <w:p>
      <w:pPr>
        <w:ind w:left="3480"/>
        <w:spacing w:after="0"/>
        <w:rPr>
          <w:sz w:val="20"/>
          <w:szCs w:val="20"/>
          <w:color w:val="auto"/>
        </w:rPr>
      </w:pPr>
      <w:r>
        <w:rPr>
          <w:rFonts w:ascii="Arial" w:cs="Arial" w:eastAsia="Arial" w:hAnsi="Arial"/>
          <w:sz w:val="18"/>
          <w:szCs w:val="18"/>
          <w:color w:val="auto"/>
        </w:rPr>
        <w:t>(Address of principal executive offices, including zip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(612) 746-1944</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Not Applicable</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11"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860" w:firstLine="8"/>
        <w:spacing w:after="0" w:line="508" w:lineRule="auto"/>
        <w:tabs>
          <w:tab w:leader="none" w:pos="3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37"/>
        </w:trPr>
        <w:tc>
          <w:tcPr>
            <w:tcW w:w="3620" w:type="dxa"/>
            <w:vAlign w:val="bottom"/>
            <w:gridSpan w:val="2"/>
          </w:tcPr>
          <w:p>
            <w:pPr>
              <w:jc w:val="center"/>
              <w:spacing w:after="0"/>
              <w:rPr>
                <w:sz w:val="20"/>
                <w:szCs w:val="20"/>
                <w:color w:val="auto"/>
              </w:rPr>
            </w:pPr>
            <w:r>
              <w:rPr>
                <w:rFonts w:ascii="Arial" w:cs="Arial" w:eastAsia="Arial" w:hAnsi="Arial"/>
                <w:sz w:val="18"/>
                <w:szCs w:val="18"/>
                <w:color w:val="auto"/>
                <w:w w:val="90"/>
              </w:rPr>
              <w:t>Title of each class</w:t>
            </w:r>
          </w:p>
        </w:tc>
        <w:tc>
          <w:tcPr>
            <w:tcW w:w="3700" w:type="dxa"/>
            <w:vAlign w:val="bottom"/>
            <w:gridSpan w:val="2"/>
          </w:tcPr>
          <w:p>
            <w:pPr>
              <w:jc w:val="center"/>
              <w:ind w:right="140"/>
              <w:spacing w:after="0"/>
              <w:rPr>
                <w:sz w:val="20"/>
                <w:szCs w:val="20"/>
                <w:color w:val="auto"/>
              </w:rPr>
            </w:pPr>
            <w:r>
              <w:rPr>
                <w:rFonts w:ascii="Arial" w:cs="Arial" w:eastAsia="Arial" w:hAnsi="Arial"/>
                <w:sz w:val="18"/>
                <w:szCs w:val="18"/>
                <w:color w:val="auto"/>
                <w:w w:val="92"/>
              </w:rPr>
              <w:t>Trading Symbol(s)</w:t>
            </w:r>
          </w:p>
        </w:tc>
        <w:tc>
          <w:tcPr>
            <w:tcW w:w="3920" w:type="dxa"/>
            <w:vAlign w:val="bottom"/>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16"/>
        </w:trPr>
        <w:tc>
          <w:tcPr>
            <w:tcW w:w="3500" w:type="dxa"/>
            <w:vAlign w:val="bottom"/>
            <w:tcBorders>
              <w:top w:val="single" w:sz="8" w:color="auto"/>
            </w:tcBorders>
            <w:shd w:val="clear" w:color="auto" w:fill="CCEEFF"/>
          </w:tcPr>
          <w:p>
            <w:pPr>
              <w:jc w:val="center"/>
              <w:ind w:left="50"/>
              <w:spacing w:after="0"/>
              <w:rPr>
                <w:sz w:val="20"/>
                <w:szCs w:val="20"/>
                <w:color w:val="auto"/>
              </w:rPr>
            </w:pPr>
            <w:r>
              <w:rPr>
                <w:rFonts w:ascii="Arial" w:cs="Arial" w:eastAsia="Arial" w:hAnsi="Arial"/>
                <w:sz w:val="18"/>
                <w:szCs w:val="18"/>
                <w:color w:val="auto"/>
                <w:w w:val="88"/>
              </w:rPr>
              <w:t>Common Shares</w:t>
            </w:r>
          </w:p>
        </w:tc>
        <w:tc>
          <w:tcPr>
            <w:tcW w:w="120" w:type="dxa"/>
            <w:vAlign w:val="bottom"/>
            <w:tcBorders>
              <w:top w:val="single" w:sz="8" w:color="CCEEFF"/>
            </w:tcBorders>
            <w:shd w:val="clear" w:color="auto" w:fill="CCEEFF"/>
          </w:tcPr>
          <w:p>
            <w:pPr>
              <w:spacing w:after="0"/>
              <w:rPr>
                <w:sz w:val="18"/>
                <w:szCs w:val="18"/>
                <w:color w:val="auto"/>
              </w:rPr>
            </w:pPr>
          </w:p>
        </w:tc>
        <w:tc>
          <w:tcPr>
            <w:tcW w:w="35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6"/>
              </w:rPr>
              <w:t>GWGH</w:t>
            </w:r>
          </w:p>
        </w:tc>
        <w:tc>
          <w:tcPr>
            <w:tcW w:w="120" w:type="dxa"/>
            <w:vAlign w:val="bottom"/>
            <w:tcBorders>
              <w:top w:val="single" w:sz="8" w:color="CCEEFF"/>
            </w:tcBorders>
            <w:shd w:val="clear" w:color="auto" w:fill="CCEEFF"/>
          </w:tcPr>
          <w:p>
            <w:pPr>
              <w:spacing w:after="0"/>
              <w:rPr>
                <w:sz w:val="18"/>
                <w:szCs w:val="18"/>
                <w:color w:val="auto"/>
              </w:rPr>
            </w:pPr>
          </w:p>
        </w:tc>
        <w:tc>
          <w:tcPr>
            <w:tcW w:w="39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1"/>
              </w:rPr>
              <w:t>Nasdaq Capital Market</w:t>
            </w:r>
          </w:p>
        </w:tc>
      </w:tr>
    </w:tbl>
    <w:p>
      <w:pPr>
        <w:spacing w:after="0" w:line="202" w:lineRule="exact"/>
        <w:rPr>
          <w:sz w:val="24"/>
          <w:szCs w:val="24"/>
          <w:color w:val="auto"/>
        </w:rPr>
      </w:pPr>
    </w:p>
    <w:p>
      <w:pPr>
        <w:ind w:right="5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26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596265</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17" w:right="3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7.01 Regulation FD Disclosure</w:t>
      </w:r>
    </w:p>
    <w:p>
      <w:pPr>
        <w:spacing w:after="0" w:line="22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On February 14, 2022, GWG Holdings, Inc. sent a communication to investors, a copy of which is attached as Exhibit 99.1 and is incorporated hereby by reference.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5" w:lineRule="exact"/>
        <w:rPr>
          <w:sz w:val="20"/>
          <w:szCs w:val="20"/>
          <w:color w:val="auto"/>
        </w:rPr>
      </w:pPr>
    </w:p>
    <w:p>
      <w:pPr>
        <w:spacing w:after="0"/>
        <w:tabs>
          <w:tab w:leader="none" w:pos="1240" w:val="left"/>
        </w:tabs>
        <w:rPr>
          <w:sz w:val="20"/>
          <w:szCs w:val="20"/>
          <w:color w:val="auto"/>
        </w:rPr>
      </w:pPr>
      <w:r>
        <w:rPr>
          <w:rFonts w:ascii="Arial" w:cs="Arial" w:eastAsia="Arial" w:hAnsi="Arial"/>
          <w:sz w:val="18"/>
          <w:szCs w:val="18"/>
          <w:b w:val="1"/>
          <w:bCs w:val="1"/>
          <w:color w:val="auto"/>
        </w:rPr>
        <w:t>Exhibit No.</w:t>
      </w:r>
      <w:r>
        <w:rPr>
          <w:sz w:val="20"/>
          <w:szCs w:val="20"/>
          <w:color w:val="auto"/>
        </w:rPr>
        <w:tab/>
      </w:r>
      <w:r>
        <w:rPr>
          <w:rFonts w:ascii="Arial" w:cs="Arial" w:eastAsia="Arial" w:hAnsi="Arial"/>
          <w:sz w:val="15"/>
          <w:szCs w:val="15"/>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26035</wp:posOffset>
            </wp:positionV>
            <wp:extent cx="7132320" cy="1543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34" w:lineRule="exact"/>
        <w:rPr>
          <w:sz w:val="20"/>
          <w:szCs w:val="20"/>
          <w:color w:val="auto"/>
        </w:rPr>
      </w:pPr>
    </w:p>
    <w:p>
      <w:pPr>
        <w:spacing w:after="0"/>
        <w:tabs>
          <w:tab w:leader="none" w:pos="1240" w:val="left"/>
        </w:tabs>
        <w:rPr>
          <w:rFonts w:ascii="Arial" w:cs="Arial" w:eastAsia="Arial" w:hAnsi="Arial"/>
          <w:sz w:val="16"/>
          <w:szCs w:val="16"/>
          <w:u w:val="single" w:color="auto"/>
          <w:color w:val="0000EE"/>
        </w:rPr>
      </w:pPr>
      <w:r>
        <w:rPr>
          <w:rFonts w:ascii="Arial" w:cs="Arial" w:eastAsia="Arial" w:hAnsi="Arial"/>
          <w:sz w:val="18"/>
          <w:szCs w:val="18"/>
          <w:color w:val="auto"/>
        </w:rPr>
        <w:t>99.1</w:t>
      </w:r>
      <w:r>
        <w:rPr>
          <w:sz w:val="20"/>
          <w:szCs w:val="20"/>
          <w:color w:val="auto"/>
        </w:rPr>
        <w:tab/>
      </w:r>
      <w:hyperlink w:anchor="page4">
        <w:r>
          <w:rPr>
            <w:rFonts w:ascii="Arial" w:cs="Arial" w:eastAsia="Arial" w:hAnsi="Arial"/>
            <w:sz w:val="16"/>
            <w:szCs w:val="16"/>
            <w:u w:val="single" w:color="auto"/>
            <w:color w:val="0000EE"/>
          </w:rPr>
          <w:t>Investor Communication</w:t>
        </w:r>
      </w:hyperlink>
    </w:p>
    <w:p>
      <w:pPr>
        <w:spacing w:after="0" w:line="23" w:lineRule="exact"/>
        <w:rPr>
          <w:sz w:val="20"/>
          <w:szCs w:val="20"/>
          <w:color w:val="auto"/>
        </w:rPr>
      </w:pPr>
    </w:p>
    <w:p>
      <w:pPr>
        <w:ind w:left="5580" w:right="3920" w:hanging="5572"/>
        <w:spacing w:after="0" w:line="761" w:lineRule="auto"/>
        <w:tabs>
          <w:tab w:leader="none" w:pos="1251" w:val="left"/>
        </w:tabs>
        <w:numPr>
          <w:ilvl w:val="0"/>
          <w:numId w:val="2"/>
        </w:numPr>
        <w:rPr>
          <w:rFonts w:ascii="Arial" w:cs="Arial" w:eastAsia="Arial" w:hAnsi="Arial"/>
          <w:sz w:val="18"/>
          <w:szCs w:val="18"/>
          <w:color w:val="auto"/>
        </w:rPr>
      </w:pPr>
      <w:r>
        <w:rPr>
          <w:rFonts w:ascii="Arial" w:cs="Arial" w:eastAsia="Arial" w:hAnsi="Arial"/>
          <w:sz w:val="18"/>
          <w:szCs w:val="18"/>
          <w:color w:val="auto"/>
        </w:rPr>
        <w:t>Cover Page Interactive Data File (embedded within the Inline XBRL document)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-284480</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40"/>
          </w:cols>
          <w:pgMar w:left="320" w:top="904" w:right="6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30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680" w:type="dxa"/>
            <w:vAlign w:val="bottom"/>
          </w:tcPr>
          <w:p>
            <w:pPr>
              <w:spacing w:after="0"/>
              <w:rPr>
                <w:sz w:val="20"/>
                <w:szCs w:val="20"/>
                <w:color w:val="auto"/>
              </w:rPr>
            </w:pPr>
          </w:p>
        </w:tc>
        <w:tc>
          <w:tcPr>
            <w:tcW w:w="7560" w:type="dxa"/>
            <w:vAlign w:val="bottom"/>
            <w:gridSpan w:val="2"/>
          </w:tcPr>
          <w:p>
            <w:pPr>
              <w:ind w:left="3080"/>
              <w:spacing w:after="0"/>
              <w:rPr>
                <w:sz w:val="20"/>
                <w:szCs w:val="20"/>
                <w:color w:val="auto"/>
              </w:rPr>
            </w:pPr>
            <w:r>
              <w:rPr>
                <w:rFonts w:ascii="Arial" w:cs="Arial" w:eastAsia="Arial" w:hAnsi="Arial"/>
                <w:sz w:val="18"/>
                <w:szCs w:val="18"/>
                <w:b w:val="1"/>
                <w:bCs w:val="1"/>
                <w:color w:val="auto"/>
              </w:rPr>
              <w:t>GWG HOLDINGS, INC.</w:t>
            </w:r>
          </w:p>
        </w:tc>
      </w:tr>
      <w:tr>
        <w:trPr>
          <w:trHeight w:val="439"/>
        </w:trPr>
        <w:tc>
          <w:tcPr>
            <w:tcW w:w="3680" w:type="dxa"/>
            <w:vAlign w:val="bottom"/>
          </w:tcPr>
          <w:p>
            <w:pPr>
              <w:spacing w:after="0"/>
              <w:rPr>
                <w:sz w:val="20"/>
                <w:szCs w:val="20"/>
                <w:color w:val="auto"/>
              </w:rPr>
            </w:pPr>
            <w:r>
              <w:rPr>
                <w:rFonts w:ascii="Arial" w:cs="Arial" w:eastAsia="Arial" w:hAnsi="Arial"/>
                <w:sz w:val="18"/>
                <w:szCs w:val="18"/>
                <w:color w:val="auto"/>
              </w:rPr>
              <w:t>Date: February 14, 2022</w:t>
            </w:r>
          </w:p>
        </w:tc>
        <w:tc>
          <w:tcPr>
            <w:tcW w:w="3640" w:type="dxa"/>
            <w:vAlign w:val="bottom"/>
          </w:tcPr>
          <w:p>
            <w:pPr>
              <w:ind w:left="3080"/>
              <w:spacing w:after="0"/>
              <w:rPr>
                <w:sz w:val="20"/>
                <w:szCs w:val="20"/>
                <w:color w:val="auto"/>
              </w:rPr>
            </w:pPr>
            <w:r>
              <w:rPr>
                <w:rFonts w:ascii="Arial" w:cs="Arial" w:eastAsia="Arial" w:hAnsi="Arial"/>
                <w:sz w:val="18"/>
                <w:szCs w:val="18"/>
                <w:color w:val="auto"/>
              </w:rPr>
              <w:t>By:</w:t>
            </w:r>
          </w:p>
        </w:tc>
        <w:tc>
          <w:tcPr>
            <w:tcW w:w="39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Timothy L. Evans</w:t>
            </w:r>
          </w:p>
        </w:tc>
      </w:tr>
      <w:tr>
        <w:trPr>
          <w:trHeight w:val="202"/>
        </w:trPr>
        <w:tc>
          <w:tcPr>
            <w:tcW w:w="3680" w:type="dxa"/>
            <w:vAlign w:val="bottom"/>
          </w:tcPr>
          <w:p>
            <w:pPr>
              <w:spacing w:after="0"/>
              <w:rPr>
                <w:sz w:val="17"/>
                <w:szCs w:val="17"/>
                <w:color w:val="auto"/>
              </w:rPr>
            </w:pPr>
          </w:p>
        </w:tc>
        <w:tc>
          <w:tcPr>
            <w:tcW w:w="3640" w:type="dxa"/>
            <w:vAlign w:val="bottom"/>
          </w:tcPr>
          <w:p>
            <w:pPr>
              <w:ind w:left="3080"/>
              <w:spacing w:after="0" w:line="201" w:lineRule="exact"/>
              <w:rPr>
                <w:sz w:val="20"/>
                <w:szCs w:val="20"/>
                <w:color w:val="auto"/>
              </w:rPr>
            </w:pPr>
            <w:r>
              <w:rPr>
                <w:rFonts w:ascii="Arial" w:cs="Arial" w:eastAsia="Arial" w:hAnsi="Arial"/>
                <w:sz w:val="18"/>
                <w:szCs w:val="18"/>
                <w:color w:val="auto"/>
              </w:rPr>
              <w:t>Name:</w:t>
            </w:r>
          </w:p>
        </w:tc>
        <w:tc>
          <w:tcPr>
            <w:tcW w:w="3920" w:type="dxa"/>
            <w:vAlign w:val="bottom"/>
          </w:tcPr>
          <w:p>
            <w:pPr>
              <w:spacing w:after="0" w:line="201" w:lineRule="exact"/>
              <w:rPr>
                <w:sz w:val="20"/>
                <w:szCs w:val="20"/>
                <w:color w:val="auto"/>
              </w:rPr>
            </w:pPr>
            <w:r>
              <w:rPr>
                <w:rFonts w:ascii="Arial" w:cs="Arial" w:eastAsia="Arial" w:hAnsi="Arial"/>
                <w:sz w:val="18"/>
                <w:szCs w:val="18"/>
                <w:color w:val="auto"/>
              </w:rPr>
              <w:t>Timothy L. Evans</w:t>
            </w:r>
          </w:p>
        </w:tc>
      </w:tr>
      <w:tr>
        <w:trPr>
          <w:trHeight w:val="230"/>
        </w:trPr>
        <w:tc>
          <w:tcPr>
            <w:tcW w:w="3680" w:type="dxa"/>
            <w:vAlign w:val="bottom"/>
          </w:tcPr>
          <w:p>
            <w:pPr>
              <w:spacing w:after="0"/>
              <w:rPr>
                <w:sz w:val="20"/>
                <w:szCs w:val="20"/>
                <w:color w:val="auto"/>
              </w:rPr>
            </w:pPr>
          </w:p>
        </w:tc>
        <w:tc>
          <w:tcPr>
            <w:tcW w:w="3640" w:type="dxa"/>
            <w:vAlign w:val="bottom"/>
          </w:tcPr>
          <w:p>
            <w:pPr>
              <w:ind w:left="3080"/>
              <w:spacing w:after="0"/>
              <w:rPr>
                <w:sz w:val="20"/>
                <w:szCs w:val="20"/>
                <w:color w:val="auto"/>
              </w:rPr>
            </w:pPr>
            <w:r>
              <w:rPr>
                <w:rFonts w:ascii="Arial" w:cs="Arial" w:eastAsia="Arial" w:hAnsi="Arial"/>
                <w:sz w:val="18"/>
                <w:szCs w:val="18"/>
                <w:color w:val="auto"/>
              </w:rPr>
              <w:t>Title:</w:t>
            </w:r>
          </w:p>
        </w:tc>
        <w:tc>
          <w:tcPr>
            <w:tcW w:w="392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655"/>
        </w:trPr>
        <w:tc>
          <w:tcPr>
            <w:tcW w:w="3680" w:type="dxa"/>
            <w:vAlign w:val="bottom"/>
            <w:tcBorders>
              <w:bottom w:val="single" w:sz="8" w:color="auto"/>
            </w:tcBorders>
          </w:tcPr>
          <w:p>
            <w:pPr>
              <w:spacing w:after="0"/>
              <w:rPr>
                <w:sz w:val="24"/>
                <w:szCs w:val="24"/>
                <w:color w:val="auto"/>
              </w:rPr>
            </w:pPr>
          </w:p>
        </w:tc>
        <w:tc>
          <w:tcPr>
            <w:tcW w:w="3640" w:type="dxa"/>
            <w:vAlign w:val="bottom"/>
            <w:tcBorders>
              <w:bottom w:val="single" w:sz="8" w:color="auto"/>
            </w:tcBorders>
          </w:tcPr>
          <w:p>
            <w:pPr>
              <w:ind w:left="1900"/>
              <w:spacing w:after="0"/>
              <w:rPr>
                <w:sz w:val="20"/>
                <w:szCs w:val="20"/>
                <w:color w:val="auto"/>
              </w:rPr>
            </w:pPr>
            <w:r>
              <w:rPr>
                <w:rFonts w:ascii="Arial" w:cs="Arial" w:eastAsia="Arial" w:hAnsi="Arial"/>
                <w:sz w:val="18"/>
                <w:szCs w:val="18"/>
                <w:color w:val="auto"/>
              </w:rPr>
              <w:t>2</w:t>
            </w:r>
          </w:p>
        </w:tc>
        <w:tc>
          <w:tcPr>
            <w:tcW w:w="39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4" w:right="339" w:bottom="1440" w:gutter="0" w:footer="0" w:header="0"/>
        </w:sectPr>
      </w:pPr>
    </w:p>
    <w:bookmarkStart w:id="3" w:name="page4"/>
    <w:bookmarkEnd w:id="3"/>
    <w:p>
      <w:pPr>
        <w:ind w:left="10320"/>
        <w:spacing w:after="0"/>
        <w:rPr>
          <w:sz w:val="20"/>
          <w:szCs w:val="20"/>
          <w:color w:val="auto"/>
        </w:rPr>
      </w:pPr>
      <w:r>
        <w:rPr>
          <w:rFonts w:ascii="Arial" w:cs="Arial" w:eastAsia="Arial" w:hAnsi="Arial"/>
          <w:sz w:val="16"/>
          <w:szCs w:val="16"/>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168910</wp:posOffset>
            </wp:positionV>
            <wp:extent cx="1028700" cy="419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028700" cy="4197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February 14, 2022</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IMPORTANT: </w:t>
      </w:r>
      <w:r>
        <w:rPr>
          <w:rFonts w:ascii="Arial" w:cs="Arial" w:eastAsia="Arial" w:hAnsi="Arial"/>
          <w:sz w:val="18"/>
          <w:szCs w:val="18"/>
          <w:color w:val="auto"/>
        </w:rPr>
        <w:t>Continued pause in sales, interest, maturity, dividend, and redemption payments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We appreciate the opportunity to provide you updated information on GWG Holdings, Inc. (“GWGH” or the “Company”).</w:t>
      </w:r>
    </w:p>
    <w:p>
      <w:pPr>
        <w:spacing w:after="0" w:line="225"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We are progressing in our work with financial and legal advisors hired to assist the Company’s Board of Directors and management in identifying and evaluating restructuring alternatives, as well as available options to best conserve and maximize the value of GWGH’s assets for the benefit of our investors and to meet the Company’s financial obligations. We expect that the process of identifying and considering various alternatives to take at least another three to four weeks, and may take longer.</w:t>
      </w:r>
    </w:p>
    <w:p>
      <w:pPr>
        <w:spacing w:after="0" w:line="187" w:lineRule="exact"/>
        <w:rPr>
          <w:sz w:val="20"/>
          <w:szCs w:val="20"/>
          <w:color w:val="auto"/>
        </w:rPr>
      </w:pPr>
    </w:p>
    <w:p>
      <w:pPr>
        <w:ind w:right="40"/>
        <w:spacing w:after="0" w:line="279" w:lineRule="auto"/>
        <w:rPr>
          <w:sz w:val="20"/>
          <w:szCs w:val="20"/>
          <w:color w:val="auto"/>
        </w:rPr>
      </w:pPr>
      <w:r>
        <w:rPr>
          <w:rFonts w:ascii="Arial" w:cs="Arial" w:eastAsia="Arial" w:hAnsi="Arial"/>
          <w:sz w:val="17"/>
          <w:szCs w:val="17"/>
          <w:color w:val="auto"/>
        </w:rPr>
        <w:t>While we continue this process, GWGH paused L Bond sales and will not make monthly interest and maturity payments on its L Bonds, or dividends on the Redeemable Preferred Stock and Series 2 Redeemable Preferred Stock, while continuing to defer requests for redemptions. While you are not receiving payments, interest on the L Bonds will continue to accrue, and dividends on the Redeemable Preferred Stock and Series 2 Redeemable Preferred Stock will continue to cumulate. We will inform you if and when we are able to restart these cash payments in the future.</w:t>
      </w:r>
    </w:p>
    <w:p>
      <w:pPr>
        <w:spacing w:after="0" w:line="171"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We know many will have questions, and we don’t yet have all the answers, but we are committed to finding the best path forward. Please also review the 8-K we filed with the SEC on January 18, 2022 and GWGH’s other existing and future filings with the SEC.</w:t>
      </w:r>
    </w:p>
    <w:p>
      <w:pPr>
        <w:spacing w:after="0" w:line="170" w:lineRule="exact"/>
        <w:rPr>
          <w:sz w:val="20"/>
          <w:szCs w:val="20"/>
          <w:color w:val="auto"/>
        </w:rPr>
      </w:pPr>
    </w:p>
    <w:p>
      <w:pPr>
        <w:ind w:right="240"/>
        <w:spacing w:after="0" w:line="308" w:lineRule="auto"/>
        <w:rPr>
          <w:sz w:val="20"/>
          <w:szCs w:val="20"/>
          <w:color w:val="auto"/>
        </w:rPr>
      </w:pPr>
      <w:r>
        <w:rPr>
          <w:rFonts w:ascii="Arial" w:cs="Arial" w:eastAsia="Arial" w:hAnsi="Arial"/>
          <w:sz w:val="17"/>
          <w:szCs w:val="17"/>
          <w:color w:val="auto"/>
        </w:rPr>
        <w:t>Again, we continue to work diligently to make our forward decisions with the goal to maximize value for GWGH’s investors. If you have any questions, please reach out to your financial advisor or registered representative or the GWGH Investor Services team at Invest@gwgh.com.</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color w:val="auto"/>
        </w:rPr>
        <w:t>Sincerely,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Murray Holland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President &amp; CEO</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GWG Holdings,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Securities offered through Emerson Equity LLC a registered broker dealer, member FINRA, SIPC. Emerson is not an affiliate of GWGH.</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GWG Holdings files annual, quarterly and current reports, and other information with the SEC. Our SEC filings, and any amendments thereto, are available on the SEC's Internet site at http://www.sec.gov. Alternatively, the issuer, any underwriter or any dealer participating in the offering of L Bonds will arrange to send you the prospectus for the L Bonds if you request it by calling toll-free 1-877-494-2388.</w:t>
      </w:r>
    </w:p>
    <w:p>
      <w:pPr>
        <w:spacing w:after="0" w:line="184"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The information provided herein does not constitute an offer to sell securities or the solicitation of an offer to buy securities. An offer to sell securities can only be made by a prospectus, pursuant to a registration statement, and any amendments thereto, then effective and on file with the Securities Exchange Commission (“SEC”). Investors must read the entire prospectus for investment conditions, risk factors, minimum requirements, fees and expenses and other pertinent information with respect to the offerings.</w:t>
      </w:r>
    </w:p>
    <w:p>
      <w:pPr>
        <w:spacing w:after="0" w:line="187"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Securities are being offered on a best-efforts basis on behalf of GWG Holdings by Emerson Equity, LLC, Member FINRA, SIPC, and Managing Broker-Dealer for the Issuer. GWG Holdings and Emerson are not affiliated entities.</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sz w:val="1"/>
          <w:szCs w:val="1"/>
          <w:color w:val="auto"/>
        </w:rPr>
        <w:drawing>
          <wp:inline distT="0" distB="0" distL="0" distR="0">
            <wp:extent cx="737235" cy="2654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37235" cy="265430"/>
                    </a:xfrm>
                    <a:prstGeom prst="rect">
                      <a:avLst/>
                    </a:prstGeom>
                    <a:noFill/>
                    <a:ln>
                      <a:noFill/>
                    </a:ln>
                  </pic:spPr>
                </pic:pic>
              </a:graphicData>
            </a:graphic>
          </wp:inline>
        </w:drawing>
      </w:r>
      <w:r>
        <w:rPr>
          <w:rFonts w:ascii="Arial" w:cs="Arial" w:eastAsia="Arial" w:hAnsi="Arial"/>
          <w:sz w:val="18"/>
          <w:szCs w:val="18"/>
          <w:b w:val="1"/>
          <w:bCs w:val="1"/>
          <w:color w:val="auto"/>
        </w:rPr>
        <w:t xml:space="preserve"> GWG </w:t>
      </w:r>
      <w:r>
        <w:rPr>
          <w:rFonts w:ascii="Arial" w:cs="Arial" w:eastAsia="Arial" w:hAnsi="Arial"/>
          <w:sz w:val="18"/>
          <w:szCs w:val="18"/>
          <w:color w:val="auto"/>
        </w:rPr>
        <w:t>Holdings, Inc. | 325 North Saint Paul Street, Suite 2650 | Dallas, Texas 75201 | gwgh.com</w:t>
      </w:r>
    </w:p>
    <w:sectPr>
      <w:pgSz w:w="11900" w:h="16838" w:orient="portrait"/>
      <w:cols w:equalWidth="0" w:num="1">
        <w:col w:w="11240"/>
      </w:cols>
      <w:pgMar w:left="320" w:top="12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04"/>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2022-02-14T08:07:09Z</dcterms:created>
  <dcterms:modified xsi:type="dcterms:W3CDTF">2022-02-14T08:07:09Z</dcterms:modified>
</cp:coreProperties>
</file>