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8"/>
          <w:szCs w:val="18"/>
          <w:color w:val="auto"/>
        </w:rPr>
        <w:drawing>
          <wp:anchor simplePos="0" relativeHeight="251657728" behindDoc="1" locked="0" layoutInCell="0" allowOverlap="1">
            <wp:simplePos x="0" y="0"/>
            <wp:positionH relativeFrom="page">
              <wp:posOffset>208280</wp:posOffset>
            </wp:positionH>
            <wp:positionV relativeFrom="page">
              <wp:posOffset>157480</wp:posOffset>
            </wp:positionV>
            <wp:extent cx="7132320" cy="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182880</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23"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SECURITIES AND EXCHANGE COMMISSION</w:t>
      </w:r>
    </w:p>
    <w:p>
      <w:pPr>
        <w:spacing w:after="0" w:line="9" w:lineRule="exact"/>
        <w:rPr>
          <w:sz w:val="24"/>
          <w:szCs w:val="24"/>
          <w:color w:val="auto"/>
        </w:rPr>
      </w:pPr>
    </w:p>
    <w:p>
      <w:pPr>
        <w:jc w:val="center"/>
        <w:ind w:right="40"/>
        <w:spacing w:after="0"/>
        <w:rPr>
          <w:sz w:val="20"/>
          <w:szCs w:val="20"/>
          <w:color w:val="auto"/>
        </w:rPr>
      </w:pPr>
      <w:r>
        <w:rPr>
          <w:rFonts w:ascii="Arial" w:cs="Arial" w:eastAsia="Arial" w:hAnsi="Arial"/>
          <w:sz w:val="18"/>
          <w:szCs w:val="18"/>
          <w:color w:val="auto"/>
        </w:rPr>
        <w:t>Washington, DC 20549</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FORM 8-K</w:t>
      </w:r>
    </w:p>
    <w:p>
      <w:pPr>
        <w:spacing w:after="0" w:line="22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CURRENT REPORT</w:t>
      </w:r>
    </w:p>
    <w:p>
      <w:pPr>
        <w:spacing w:after="0" w:line="23"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Pursuant to Section 13 or 15(d) of</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the Securities Exchange Act of 1934</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 xml:space="preserve">Date of Report (date of earliest event reported): </w:t>
      </w:r>
      <w:r>
        <w:rPr>
          <w:rFonts w:ascii="Arial" w:cs="Arial" w:eastAsia="Arial" w:hAnsi="Arial"/>
          <w:sz w:val="18"/>
          <w:szCs w:val="18"/>
          <w:b w:val="1"/>
          <w:bCs w:val="1"/>
          <w:color w:val="auto"/>
        </w:rPr>
        <w:t>October 27, 2020</w:t>
      </w:r>
    </w:p>
    <w:p>
      <w:pPr>
        <w:spacing w:after="0" w:line="216"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GWG Holdings, Inc.</w:t>
      </w:r>
    </w:p>
    <w:p>
      <w:pPr>
        <w:spacing w:after="0" w:line="1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its charter)</w:t>
      </w:r>
    </w:p>
    <w:p>
      <w:pPr>
        <w:spacing w:after="0" w:line="205"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4000" w:type="dxa"/>
            <w:vAlign w:val="bottom"/>
          </w:tcPr>
          <w:p>
            <w:pPr>
              <w:spacing w:after="0"/>
              <w:rPr>
                <w:sz w:val="20"/>
                <w:szCs w:val="20"/>
                <w:color w:val="auto"/>
              </w:rPr>
            </w:pPr>
          </w:p>
        </w:tc>
        <w:tc>
          <w:tcPr>
            <w:tcW w:w="7240" w:type="dxa"/>
            <w:vAlign w:val="bottom"/>
            <w:gridSpan w:val="3"/>
          </w:tcPr>
          <w:p>
            <w:pPr>
              <w:ind w:left="200"/>
              <w:spacing w:after="0"/>
              <w:rPr>
                <w:sz w:val="20"/>
                <w:szCs w:val="20"/>
                <w:color w:val="auto"/>
              </w:rPr>
            </w:pPr>
            <w:r>
              <w:rPr>
                <w:rFonts w:ascii="Arial" w:cs="Arial" w:eastAsia="Arial" w:hAnsi="Arial"/>
                <w:sz w:val="18"/>
                <w:szCs w:val="18"/>
                <w:color w:val="auto"/>
              </w:rPr>
              <w:t xml:space="preserve">Commission File Number:  </w:t>
            </w:r>
            <w:r>
              <w:rPr>
                <w:rFonts w:ascii="Arial" w:cs="Arial" w:eastAsia="Arial" w:hAnsi="Arial"/>
                <w:sz w:val="18"/>
                <w:szCs w:val="18"/>
                <w:b w:val="1"/>
                <w:bCs w:val="1"/>
                <w:color w:val="auto"/>
              </w:rPr>
              <w:t>001-36615</w:t>
            </w:r>
          </w:p>
        </w:tc>
      </w:tr>
      <w:tr>
        <w:trPr>
          <w:trHeight w:val="439"/>
        </w:trPr>
        <w:tc>
          <w:tcPr>
            <w:tcW w:w="4000" w:type="dxa"/>
            <w:vAlign w:val="bottom"/>
          </w:tcPr>
          <w:p>
            <w:pPr>
              <w:jc w:val="center"/>
              <w:ind w:left="1430"/>
              <w:spacing w:after="0"/>
              <w:rPr>
                <w:sz w:val="20"/>
                <w:szCs w:val="20"/>
                <w:color w:val="auto"/>
              </w:rPr>
            </w:pPr>
            <w:r>
              <w:rPr>
                <w:rFonts w:ascii="Arial" w:cs="Arial" w:eastAsia="Arial" w:hAnsi="Arial"/>
                <w:sz w:val="18"/>
                <w:szCs w:val="18"/>
                <w:b w:val="1"/>
                <w:bCs w:val="1"/>
                <w:color w:val="auto"/>
                <w:w w:val="91"/>
              </w:rPr>
              <w:t>Delaware</w:t>
            </w:r>
          </w:p>
        </w:tc>
        <w:tc>
          <w:tcPr>
            <w:tcW w:w="7240" w:type="dxa"/>
            <w:vAlign w:val="bottom"/>
            <w:gridSpan w:val="3"/>
          </w:tcPr>
          <w:p>
            <w:pPr>
              <w:jc w:val="center"/>
              <w:ind w:left="1650"/>
              <w:spacing w:after="0"/>
              <w:rPr>
                <w:sz w:val="20"/>
                <w:szCs w:val="20"/>
                <w:color w:val="auto"/>
              </w:rPr>
            </w:pPr>
            <w:r>
              <w:rPr>
                <w:rFonts w:ascii="Arial" w:cs="Arial" w:eastAsia="Arial" w:hAnsi="Arial"/>
                <w:sz w:val="18"/>
                <w:szCs w:val="18"/>
                <w:b w:val="1"/>
                <w:bCs w:val="1"/>
                <w:color w:val="auto"/>
                <w:w w:val="89"/>
              </w:rPr>
              <w:t>26-2222607</w:t>
            </w:r>
          </w:p>
        </w:tc>
      </w:tr>
      <w:tr>
        <w:trPr>
          <w:trHeight w:val="202"/>
        </w:trPr>
        <w:tc>
          <w:tcPr>
            <w:tcW w:w="4000" w:type="dxa"/>
            <w:vAlign w:val="bottom"/>
            <w:tcBorders>
              <w:top w:val="single" w:sz="8" w:color="auto"/>
            </w:tcBorders>
          </w:tcPr>
          <w:p>
            <w:pPr>
              <w:jc w:val="center"/>
              <w:ind w:left="1430"/>
              <w:spacing w:after="0" w:line="201" w:lineRule="exact"/>
              <w:rPr>
                <w:sz w:val="20"/>
                <w:szCs w:val="20"/>
                <w:color w:val="auto"/>
              </w:rPr>
            </w:pPr>
            <w:r>
              <w:rPr>
                <w:rFonts w:ascii="Arial" w:cs="Arial" w:eastAsia="Arial" w:hAnsi="Arial"/>
                <w:sz w:val="18"/>
                <w:szCs w:val="18"/>
                <w:color w:val="auto"/>
                <w:w w:val="92"/>
              </w:rPr>
              <w:t>(State or other jurisdiction of</w:t>
            </w:r>
          </w:p>
        </w:tc>
        <w:tc>
          <w:tcPr>
            <w:tcW w:w="1520" w:type="dxa"/>
            <w:vAlign w:val="bottom"/>
            <w:tcBorders>
              <w:top w:val="single" w:sz="8" w:color="auto"/>
            </w:tcBorders>
          </w:tcPr>
          <w:p>
            <w:pPr>
              <w:spacing w:after="0"/>
              <w:rPr>
                <w:sz w:val="17"/>
                <w:szCs w:val="17"/>
                <w:color w:val="auto"/>
              </w:rPr>
            </w:pPr>
          </w:p>
        </w:tc>
        <w:tc>
          <w:tcPr>
            <w:tcW w:w="220" w:type="dxa"/>
            <w:vAlign w:val="bottom"/>
          </w:tcPr>
          <w:p>
            <w:pPr>
              <w:spacing w:after="0"/>
              <w:rPr>
                <w:sz w:val="17"/>
                <w:szCs w:val="17"/>
                <w:color w:val="auto"/>
              </w:rPr>
            </w:pPr>
          </w:p>
        </w:tc>
        <w:tc>
          <w:tcPr>
            <w:tcW w:w="5500" w:type="dxa"/>
            <w:vAlign w:val="bottom"/>
            <w:tcBorders>
              <w:top w:val="single" w:sz="8" w:color="auto"/>
            </w:tcBorders>
          </w:tcPr>
          <w:p>
            <w:pPr>
              <w:jc w:val="center"/>
              <w:spacing w:after="0" w:line="201" w:lineRule="exact"/>
              <w:rPr>
                <w:sz w:val="20"/>
                <w:szCs w:val="20"/>
                <w:color w:val="auto"/>
              </w:rPr>
            </w:pPr>
            <w:r>
              <w:rPr>
                <w:rFonts w:ascii="Arial" w:cs="Arial" w:eastAsia="Arial" w:hAnsi="Arial"/>
                <w:sz w:val="18"/>
                <w:szCs w:val="18"/>
                <w:color w:val="auto"/>
                <w:w w:val="93"/>
              </w:rPr>
              <w:t>(IRS Employer</w:t>
            </w:r>
          </w:p>
        </w:tc>
      </w:tr>
      <w:tr>
        <w:trPr>
          <w:trHeight w:val="230"/>
        </w:trPr>
        <w:tc>
          <w:tcPr>
            <w:tcW w:w="4000" w:type="dxa"/>
            <w:vAlign w:val="bottom"/>
          </w:tcPr>
          <w:p>
            <w:pPr>
              <w:jc w:val="center"/>
              <w:ind w:left="1430"/>
              <w:spacing w:after="0"/>
              <w:rPr>
                <w:sz w:val="20"/>
                <w:szCs w:val="20"/>
                <w:color w:val="auto"/>
              </w:rPr>
            </w:pPr>
            <w:r>
              <w:rPr>
                <w:rFonts w:ascii="Arial" w:cs="Arial" w:eastAsia="Arial" w:hAnsi="Arial"/>
                <w:sz w:val="18"/>
                <w:szCs w:val="18"/>
                <w:color w:val="auto"/>
                <w:w w:val="94"/>
              </w:rPr>
              <w:t>incorporation)</w:t>
            </w:r>
          </w:p>
        </w:tc>
        <w:tc>
          <w:tcPr>
            <w:tcW w:w="15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500" w:type="dxa"/>
            <w:vAlign w:val="bottom"/>
          </w:tcPr>
          <w:p>
            <w:pPr>
              <w:jc w:val="center"/>
              <w:spacing w:after="0"/>
              <w:rPr>
                <w:sz w:val="20"/>
                <w:szCs w:val="20"/>
                <w:color w:val="auto"/>
              </w:rPr>
            </w:pPr>
            <w:r>
              <w:rPr>
                <w:rFonts w:ascii="Arial" w:cs="Arial" w:eastAsia="Arial" w:hAnsi="Arial"/>
                <w:sz w:val="18"/>
                <w:szCs w:val="18"/>
                <w:color w:val="auto"/>
                <w:w w:val="95"/>
              </w:rPr>
              <w:t>Identification No.)</w:t>
            </w:r>
          </w:p>
        </w:tc>
      </w:tr>
    </w:tbl>
    <w:p>
      <w:pPr>
        <w:spacing w:after="0" w:line="198" w:lineRule="exact"/>
        <w:rPr>
          <w:sz w:val="24"/>
          <w:szCs w:val="24"/>
          <w:color w:val="auto"/>
        </w:rPr>
      </w:pPr>
    </w:p>
    <w:p>
      <w:pPr>
        <w:ind w:left="3520"/>
        <w:spacing w:after="0"/>
        <w:rPr>
          <w:sz w:val="20"/>
          <w:szCs w:val="20"/>
          <w:color w:val="auto"/>
        </w:rPr>
      </w:pPr>
      <w:r>
        <w:rPr>
          <w:rFonts w:ascii="Arial" w:cs="Arial" w:eastAsia="Arial" w:hAnsi="Arial"/>
          <w:sz w:val="18"/>
          <w:szCs w:val="18"/>
          <w:b w:val="1"/>
          <w:bCs w:val="1"/>
          <w:color w:val="auto"/>
        </w:rPr>
        <w:t>325 North St. Paul Street, Suite 2650, Dallas, TX 75201</w:t>
      </w:r>
    </w:p>
    <w:p>
      <w:pPr>
        <w:spacing w:after="0" w:line="27" w:lineRule="exact"/>
        <w:rPr>
          <w:sz w:val="24"/>
          <w:szCs w:val="24"/>
          <w:color w:val="auto"/>
        </w:rPr>
      </w:pPr>
    </w:p>
    <w:p>
      <w:pPr>
        <w:ind w:left="3480"/>
        <w:spacing w:after="0"/>
        <w:rPr>
          <w:sz w:val="20"/>
          <w:szCs w:val="20"/>
          <w:color w:val="auto"/>
        </w:rPr>
      </w:pPr>
      <w:r>
        <w:rPr>
          <w:rFonts w:ascii="Arial" w:cs="Arial" w:eastAsia="Arial" w:hAnsi="Arial"/>
          <w:sz w:val="18"/>
          <w:szCs w:val="18"/>
          <w:color w:val="auto"/>
        </w:rPr>
        <w:t>(Address of principal executive offices, including zip code)</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(612) 746-1944</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(Registrant’s telephone number, including area code)</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Not Applicable</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11" w:lineRule="exact"/>
        <w:rPr>
          <w:sz w:val="24"/>
          <w:szCs w:val="24"/>
          <w:color w:val="auto"/>
        </w:rPr>
      </w:pPr>
    </w:p>
    <w:p>
      <w:pPr>
        <w:ind w:right="68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w:t>
      </w:r>
    </w:p>
    <w:p>
      <w:pPr>
        <w:spacing w:after="0" w:line="170" w:lineRule="exact"/>
        <w:rPr>
          <w:sz w:val="24"/>
          <w:szCs w:val="24"/>
          <w:color w:val="auto"/>
        </w:rPr>
      </w:pPr>
    </w:p>
    <w:p>
      <w:pPr>
        <w:spacing w:after="0"/>
        <w:rPr>
          <w:sz w:val="20"/>
          <w:szCs w:val="20"/>
          <w:color w:val="auto"/>
        </w:rPr>
      </w:pPr>
      <w:r>
        <w:rPr>
          <w:rFonts w:ascii="Arial" w:cs="Arial" w:eastAsia="Arial" w:hAnsi="Arial"/>
          <w:sz w:val="18"/>
          <w:szCs w:val="18"/>
          <w:color w:val="auto"/>
        </w:rPr>
        <w:t>o Written communications pursuant to Rule 425 under the Securities Act (17 CFR 230.425)</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o Soliciting material pursuant to Rule 14a-12 under the Exchange Act (17 CFR 240.14a-12)</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o Pre-commencement communications pursuant to Rule 14d-2(b) under the Exchange Act (17 CFR 240.14d-2(b))</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o Pre-commencement communications pursuant to Rule 13e-4(c) under the Exchange Act (17 CFR 240.13e-4(c))</w:t>
      </w:r>
    </w:p>
    <w:p>
      <w:pPr>
        <w:spacing w:after="0" w:line="225" w:lineRule="exact"/>
        <w:rPr>
          <w:sz w:val="24"/>
          <w:szCs w:val="24"/>
          <w:color w:val="auto"/>
        </w:rPr>
      </w:pPr>
    </w:p>
    <w:p>
      <w:pPr>
        <w:spacing w:after="0"/>
        <w:rPr>
          <w:sz w:val="20"/>
          <w:szCs w:val="20"/>
          <w:color w:val="auto"/>
        </w:rPr>
      </w:pPr>
      <w:r>
        <w:rPr>
          <w:rFonts w:ascii="Arial" w:cs="Arial" w:eastAsia="Arial" w:hAnsi="Arial"/>
          <w:sz w:val="18"/>
          <w:szCs w:val="18"/>
          <w:color w:val="auto"/>
        </w:rPr>
        <w:t>Securities registered pursuant to Section 12(b) of the Act:</w:t>
      </w:r>
    </w:p>
    <w:p>
      <w:pPr>
        <w:spacing w:after="0" w:line="219" w:lineRule="exact"/>
        <w:rPr>
          <w:sz w:val="24"/>
          <w:szCs w:val="24"/>
          <w:color w:val="auto"/>
        </w:rPr>
      </w:pPr>
    </w:p>
    <w:tbl>
      <w:tblPr>
        <w:tblLayout w:type="fixed"/>
        <w:tblInd w:w="10" w:type="dxa"/>
        <w:tblCellMar>
          <w:top w:w="0" w:type="dxa"/>
          <w:left w:w="0" w:type="dxa"/>
          <w:bottom w:w="0" w:type="dxa"/>
          <w:right w:w="0" w:type="dxa"/>
        </w:tblCellMar>
      </w:tblPr>
      <w:tr>
        <w:trPr>
          <w:trHeight w:val="445"/>
        </w:trPr>
        <w:tc>
          <w:tcPr>
            <w:tcW w:w="3840" w:type="dxa"/>
            <w:vAlign w:val="bottom"/>
            <w:tcBorders>
              <w:top w:val="single" w:sz="8" w:color="auto"/>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Title of each class</w:t>
            </w:r>
          </w:p>
        </w:tc>
        <w:tc>
          <w:tcPr>
            <w:tcW w:w="370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2"/>
              </w:rPr>
              <w:t>Trading Symbol(s)</w:t>
            </w:r>
          </w:p>
        </w:tc>
        <w:tc>
          <w:tcPr>
            <w:tcW w:w="370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Name of each exchange on which registered</w:t>
            </w:r>
          </w:p>
        </w:tc>
      </w:tr>
      <w:tr>
        <w:trPr>
          <w:trHeight w:val="210"/>
        </w:trPr>
        <w:tc>
          <w:tcPr>
            <w:tcW w:w="3840" w:type="dxa"/>
            <w:vAlign w:val="bottom"/>
            <w:tcBorders>
              <w:left w:val="single" w:sz="8" w:color="auto"/>
              <w:bottom w:val="single" w:sz="8" w:color="auto"/>
              <w:right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88"/>
              </w:rPr>
              <w:t>Common Shares</w:t>
            </w:r>
          </w:p>
        </w:tc>
        <w:tc>
          <w:tcPr>
            <w:tcW w:w="3700" w:type="dxa"/>
            <w:vAlign w:val="bottom"/>
            <w:tcBorders>
              <w:bottom w:val="single" w:sz="8" w:color="auto"/>
              <w:right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6"/>
              </w:rPr>
              <w:t>GWGH</w:t>
            </w:r>
          </w:p>
        </w:tc>
        <w:tc>
          <w:tcPr>
            <w:tcW w:w="3700" w:type="dxa"/>
            <w:vAlign w:val="bottom"/>
            <w:tcBorders>
              <w:bottom w:val="single" w:sz="8" w:color="auto"/>
              <w:right w:val="single" w:sz="8" w:color="auto"/>
            </w:tcBorders>
            <w:shd w:val="clear" w:color="auto" w:fill="CCEEFF"/>
          </w:tcPr>
          <w:p>
            <w:pPr>
              <w:jc w:val="center"/>
              <w:spacing w:after="0"/>
              <w:rPr>
                <w:sz w:val="20"/>
                <w:szCs w:val="20"/>
                <w:color w:val="auto"/>
              </w:rPr>
            </w:pPr>
            <w:r>
              <w:rPr>
                <w:rFonts w:ascii="Arial" w:cs="Arial" w:eastAsia="Arial" w:hAnsi="Arial"/>
                <w:sz w:val="18"/>
                <w:szCs w:val="18"/>
                <w:color w:val="auto"/>
                <w:w w:val="90"/>
              </w:rPr>
              <w:t>Nasdaq Capital Markets</w:t>
            </w:r>
          </w:p>
        </w:tc>
      </w:tr>
    </w:tbl>
    <w:p>
      <w:pPr>
        <w:spacing w:after="0" w:line="202" w:lineRule="exact"/>
        <w:rPr>
          <w:sz w:val="24"/>
          <w:szCs w:val="24"/>
          <w:color w:val="auto"/>
        </w:rPr>
      </w:pPr>
    </w:p>
    <w:p>
      <w:pPr>
        <w:ind w:right="52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70" w:lineRule="exact"/>
        <w:rPr>
          <w:sz w:val="24"/>
          <w:szCs w:val="24"/>
          <w:color w:val="auto"/>
        </w:rPr>
      </w:pPr>
    </w:p>
    <w:p>
      <w:pPr>
        <w:spacing w:after="0"/>
        <w:rPr>
          <w:sz w:val="20"/>
          <w:szCs w:val="20"/>
          <w:color w:val="auto"/>
        </w:rPr>
      </w:pPr>
      <w:r>
        <w:rPr>
          <w:rFonts w:ascii="Arial" w:cs="Arial" w:eastAsia="Arial" w:hAnsi="Arial"/>
          <w:sz w:val="18"/>
          <w:szCs w:val="18"/>
          <w:color w:val="auto"/>
        </w:rPr>
        <w:t>Emerging growth company o</w:t>
      </w:r>
    </w:p>
    <w:p>
      <w:pPr>
        <w:spacing w:after="0" w:line="225" w:lineRule="exact"/>
        <w:rPr>
          <w:sz w:val="24"/>
          <w:szCs w:val="24"/>
          <w:color w:val="auto"/>
        </w:rPr>
      </w:pPr>
    </w:p>
    <w:p>
      <w:pPr>
        <w:ind w:right="160"/>
        <w:spacing w:after="0" w:line="277" w:lineRule="auto"/>
        <w:rPr>
          <w:sz w:val="20"/>
          <w:szCs w:val="20"/>
          <w:color w:val="auto"/>
        </w:rPr>
      </w:pPr>
      <w:r>
        <w:rPr>
          <w:rFonts w:ascii="Arial" w:cs="Arial" w:eastAsia="Arial" w:hAnsi="Arial"/>
          <w:sz w:val="18"/>
          <w:szCs w:val="18"/>
          <w:color w:val="auto"/>
        </w:rPr>
        <w:t>If an emerging growth company, indicate by check mark if the registrant has elected not to use the extended transition period for complying with any new or revised financial accounting standards provided pursuant to Section 13(a) of the Exchange Act. 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288925</wp:posOffset>
            </wp:positionV>
            <wp:extent cx="71323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314325</wp:posOffset>
            </wp:positionV>
            <wp:extent cx="7132320" cy="17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1714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400050</wp:posOffset>
            </wp:positionV>
            <wp:extent cx="7132320"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4" w:right="339" w:bottom="1440" w:gutter="0" w:footer="0" w:header="0"/>
        </w:sectPr>
      </w:pPr>
    </w:p>
    <w:bookmarkStart w:id="1" w:name="page2"/>
    <w:bookmarkEnd w:id="1"/>
    <w:p>
      <w:pPr>
        <w:ind w:left="1140" w:right="900" w:hanging="1120"/>
        <w:spacing w:after="0" w:line="282" w:lineRule="auto"/>
        <w:tabs>
          <w:tab w:leader="none" w:pos="1120" w:val="left"/>
        </w:tabs>
        <w:rPr>
          <w:sz w:val="20"/>
          <w:szCs w:val="20"/>
          <w:color w:val="auto"/>
        </w:rPr>
      </w:pPr>
      <w:r>
        <w:rPr>
          <w:rFonts w:ascii="Arial" w:cs="Arial" w:eastAsia="Arial" w:hAnsi="Arial"/>
          <w:sz w:val="18"/>
          <w:szCs w:val="18"/>
          <w:b w:val="1"/>
          <w:bCs w:val="1"/>
          <w:color w:val="auto"/>
        </w:rPr>
        <w:t>Item 5.02</w:t>
      </w:r>
      <w:r>
        <w:rPr>
          <w:sz w:val="20"/>
          <w:szCs w:val="20"/>
          <w:color w:val="auto"/>
        </w:rPr>
        <w:tab/>
      </w:r>
      <w:r>
        <w:rPr>
          <w:rFonts w:ascii="Arial" w:cs="Arial" w:eastAsia="Arial" w:hAnsi="Arial"/>
          <w:sz w:val="18"/>
          <w:szCs w:val="18"/>
          <w:b w:val="1"/>
          <w:bCs w:val="1"/>
          <w:color w:val="auto"/>
        </w:rPr>
        <w:t>Departure of Directors or Principal Officers; Election of Directors; Appointment of Principal Officers; Compensatory Arrangements of Certain Officers.</w:t>
      </w:r>
    </w:p>
    <w:p>
      <w:pPr>
        <w:spacing w:after="0" w:line="166" w:lineRule="exact"/>
        <w:rPr>
          <w:sz w:val="20"/>
          <w:szCs w:val="20"/>
          <w:color w:val="auto"/>
        </w:rPr>
      </w:pPr>
    </w:p>
    <w:p>
      <w:pPr>
        <w:ind w:firstLine="324"/>
        <w:spacing w:after="0" w:line="308" w:lineRule="auto"/>
        <w:rPr>
          <w:sz w:val="20"/>
          <w:szCs w:val="20"/>
          <w:color w:val="auto"/>
        </w:rPr>
      </w:pPr>
      <w:r>
        <w:rPr>
          <w:rFonts w:ascii="Arial" w:cs="Arial" w:eastAsia="Arial" w:hAnsi="Arial"/>
          <w:sz w:val="17"/>
          <w:szCs w:val="17"/>
          <w:color w:val="auto"/>
        </w:rPr>
        <w:t>On October 27, 2020, David S. Gruber resigned as a director of GWG Holdings, Inc. (the “Company”) for personal reasons. Mr. Gruber’s resignation was not due to any disagreement with the Company on any matter relating to the operations, policies or practices of the Company.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170815</wp:posOffset>
            </wp:positionV>
            <wp:extent cx="7132320" cy="17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100"/>
          </w:cols>
          <w:pgMar w:left="320" w:top="796" w:right="47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300"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as amended, the Registrant has duly caused this report to be signed on its behalf by the undersigned hereunto duly authorized.</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300" w:type="dxa"/>
            <w:vAlign w:val="bottom"/>
          </w:tcPr>
          <w:p>
            <w:pPr>
              <w:spacing w:after="0"/>
              <w:rPr>
                <w:sz w:val="20"/>
                <w:szCs w:val="20"/>
                <w:color w:val="auto"/>
              </w:rPr>
            </w:pPr>
          </w:p>
        </w:tc>
        <w:tc>
          <w:tcPr>
            <w:tcW w:w="6940" w:type="dxa"/>
            <w:vAlign w:val="bottom"/>
            <w:gridSpan w:val="3"/>
          </w:tcPr>
          <w:p>
            <w:pPr>
              <w:ind w:left="2460"/>
              <w:spacing w:after="0"/>
              <w:rPr>
                <w:sz w:val="20"/>
                <w:szCs w:val="20"/>
                <w:color w:val="auto"/>
              </w:rPr>
            </w:pPr>
            <w:r>
              <w:rPr>
                <w:rFonts w:ascii="Arial" w:cs="Arial" w:eastAsia="Arial" w:hAnsi="Arial"/>
                <w:sz w:val="18"/>
                <w:szCs w:val="18"/>
                <w:b w:val="1"/>
                <w:bCs w:val="1"/>
                <w:color w:val="auto"/>
              </w:rPr>
              <w:t>GWG HOLDINGS, INC.</w:t>
            </w:r>
          </w:p>
        </w:tc>
      </w:tr>
      <w:tr>
        <w:trPr>
          <w:trHeight w:val="648"/>
        </w:trPr>
        <w:tc>
          <w:tcPr>
            <w:tcW w:w="4300" w:type="dxa"/>
            <w:vAlign w:val="bottom"/>
          </w:tcPr>
          <w:p>
            <w:pPr>
              <w:spacing w:after="0"/>
              <w:rPr>
                <w:sz w:val="20"/>
                <w:szCs w:val="20"/>
                <w:color w:val="auto"/>
              </w:rPr>
            </w:pPr>
            <w:r>
              <w:rPr>
                <w:rFonts w:ascii="Arial" w:cs="Arial" w:eastAsia="Arial" w:hAnsi="Arial"/>
                <w:sz w:val="18"/>
                <w:szCs w:val="18"/>
                <w:color w:val="auto"/>
              </w:rPr>
              <w:t>Date: November 2, 2020</w:t>
            </w:r>
          </w:p>
        </w:tc>
        <w:tc>
          <w:tcPr>
            <w:tcW w:w="2980" w:type="dxa"/>
            <w:vAlign w:val="bottom"/>
          </w:tcPr>
          <w:p>
            <w:pPr>
              <w:ind w:left="2460"/>
              <w:spacing w:after="0"/>
              <w:rPr>
                <w:sz w:val="20"/>
                <w:szCs w:val="20"/>
                <w:color w:val="auto"/>
              </w:rPr>
            </w:pPr>
            <w:r>
              <w:rPr>
                <w:rFonts w:ascii="Arial" w:cs="Arial" w:eastAsia="Arial" w:hAnsi="Arial"/>
                <w:sz w:val="18"/>
                <w:szCs w:val="18"/>
                <w:color w:val="auto"/>
              </w:rPr>
              <w:t>By:</w:t>
            </w:r>
          </w:p>
        </w:tc>
        <w:tc>
          <w:tcPr>
            <w:tcW w:w="3960" w:type="dxa"/>
            <w:vAlign w:val="bottom"/>
            <w:gridSpan w:val="2"/>
          </w:tcPr>
          <w:p>
            <w:pPr>
              <w:ind w:left="40"/>
              <w:spacing w:after="0"/>
              <w:rPr>
                <w:sz w:val="20"/>
                <w:szCs w:val="20"/>
                <w:color w:val="auto"/>
              </w:rPr>
            </w:pPr>
            <w:r>
              <w:rPr>
                <w:rFonts w:ascii="Arial" w:cs="Arial" w:eastAsia="Arial" w:hAnsi="Arial"/>
                <w:sz w:val="18"/>
                <w:szCs w:val="18"/>
                <w:color w:val="auto"/>
              </w:rPr>
              <w:t>/s/ Timothy Evans</w:t>
            </w:r>
          </w:p>
        </w:tc>
      </w:tr>
      <w:tr>
        <w:trPr>
          <w:trHeight w:val="195"/>
        </w:trPr>
        <w:tc>
          <w:tcPr>
            <w:tcW w:w="4300" w:type="dxa"/>
            <w:vAlign w:val="bottom"/>
          </w:tcPr>
          <w:p>
            <w:pPr>
              <w:spacing w:after="0"/>
              <w:rPr>
                <w:sz w:val="16"/>
                <w:szCs w:val="16"/>
                <w:color w:val="auto"/>
              </w:rPr>
            </w:pPr>
          </w:p>
        </w:tc>
        <w:tc>
          <w:tcPr>
            <w:tcW w:w="2980" w:type="dxa"/>
            <w:vAlign w:val="bottom"/>
          </w:tcPr>
          <w:p>
            <w:pPr>
              <w:ind w:left="2460"/>
              <w:spacing w:after="0" w:line="195" w:lineRule="exact"/>
              <w:rPr>
                <w:sz w:val="20"/>
                <w:szCs w:val="20"/>
                <w:color w:val="auto"/>
              </w:rPr>
            </w:pPr>
            <w:r>
              <w:rPr>
                <w:rFonts w:ascii="Arial" w:cs="Arial" w:eastAsia="Arial" w:hAnsi="Arial"/>
                <w:sz w:val="18"/>
                <w:szCs w:val="18"/>
                <w:color w:val="auto"/>
                <w:w w:val="94"/>
              </w:rPr>
              <w:t>Name:</w:t>
            </w:r>
          </w:p>
        </w:tc>
        <w:tc>
          <w:tcPr>
            <w:tcW w:w="40" w:type="dxa"/>
            <w:vAlign w:val="bottom"/>
          </w:tcPr>
          <w:p>
            <w:pPr>
              <w:spacing w:after="0"/>
              <w:rPr>
                <w:sz w:val="16"/>
                <w:szCs w:val="16"/>
                <w:color w:val="auto"/>
              </w:rPr>
            </w:pPr>
          </w:p>
        </w:tc>
        <w:tc>
          <w:tcPr>
            <w:tcW w:w="3920" w:type="dxa"/>
            <w:vAlign w:val="bottom"/>
            <w:tcBorders>
              <w:top w:val="single" w:sz="8" w:color="auto"/>
            </w:tcBorders>
          </w:tcPr>
          <w:p>
            <w:pPr>
              <w:ind w:left="80"/>
              <w:spacing w:after="0" w:line="195" w:lineRule="exact"/>
              <w:rPr>
                <w:sz w:val="20"/>
                <w:szCs w:val="20"/>
                <w:color w:val="auto"/>
              </w:rPr>
            </w:pPr>
            <w:r>
              <w:rPr>
                <w:rFonts w:ascii="Arial" w:cs="Arial" w:eastAsia="Arial" w:hAnsi="Arial"/>
                <w:sz w:val="18"/>
                <w:szCs w:val="18"/>
                <w:color w:val="auto"/>
              </w:rPr>
              <w:t>Timothy Evans</w:t>
            </w:r>
          </w:p>
        </w:tc>
      </w:tr>
      <w:tr>
        <w:trPr>
          <w:trHeight w:val="230"/>
        </w:trPr>
        <w:tc>
          <w:tcPr>
            <w:tcW w:w="4300" w:type="dxa"/>
            <w:vAlign w:val="bottom"/>
          </w:tcPr>
          <w:p>
            <w:pPr>
              <w:spacing w:after="0"/>
              <w:rPr>
                <w:sz w:val="20"/>
                <w:szCs w:val="20"/>
                <w:color w:val="auto"/>
              </w:rPr>
            </w:pPr>
          </w:p>
        </w:tc>
        <w:tc>
          <w:tcPr>
            <w:tcW w:w="2980" w:type="dxa"/>
            <w:vAlign w:val="bottom"/>
          </w:tcPr>
          <w:p>
            <w:pPr>
              <w:ind w:left="2460"/>
              <w:spacing w:after="0"/>
              <w:rPr>
                <w:sz w:val="20"/>
                <w:szCs w:val="20"/>
                <w:color w:val="auto"/>
              </w:rPr>
            </w:pPr>
            <w:r>
              <w:rPr>
                <w:rFonts w:ascii="Arial" w:cs="Arial" w:eastAsia="Arial" w:hAnsi="Arial"/>
                <w:sz w:val="18"/>
                <w:szCs w:val="18"/>
                <w:color w:val="auto"/>
              </w:rPr>
              <w:t>Title:</w:t>
            </w:r>
          </w:p>
        </w:tc>
        <w:tc>
          <w:tcPr>
            <w:tcW w:w="40" w:type="dxa"/>
            <w:vAlign w:val="bottom"/>
          </w:tcPr>
          <w:p>
            <w:pPr>
              <w:spacing w:after="0"/>
              <w:rPr>
                <w:sz w:val="20"/>
                <w:szCs w:val="20"/>
                <w:color w:val="auto"/>
              </w:rPr>
            </w:pPr>
          </w:p>
        </w:tc>
        <w:tc>
          <w:tcPr>
            <w:tcW w:w="3920" w:type="dxa"/>
            <w:vAlign w:val="bottom"/>
          </w:tcPr>
          <w:p>
            <w:pPr>
              <w:ind w:left="80"/>
              <w:spacing w:after="0"/>
              <w:rPr>
                <w:sz w:val="20"/>
                <w:szCs w:val="20"/>
                <w:color w:val="auto"/>
              </w:rPr>
            </w:pPr>
            <w:r>
              <w:rPr>
                <w:rFonts w:ascii="Arial" w:cs="Arial" w:eastAsia="Arial" w:hAnsi="Arial"/>
                <w:sz w:val="18"/>
                <w:szCs w:val="18"/>
                <w:color w:val="auto"/>
              </w:rPr>
              <w:t>Chief Financial Officer</w:t>
            </w:r>
          </w:p>
        </w:tc>
      </w:tr>
      <w:tr>
        <w:trPr>
          <w:trHeight w:val="763"/>
        </w:trPr>
        <w:tc>
          <w:tcPr>
            <w:tcW w:w="4300" w:type="dxa"/>
            <w:vAlign w:val="bottom"/>
            <w:tcBorders>
              <w:bottom w:val="single" w:sz="8" w:color="auto"/>
            </w:tcBorders>
          </w:tcPr>
          <w:p>
            <w:pPr>
              <w:spacing w:after="0"/>
              <w:rPr>
                <w:sz w:val="24"/>
                <w:szCs w:val="24"/>
                <w:color w:val="auto"/>
              </w:rPr>
            </w:pPr>
          </w:p>
        </w:tc>
        <w:tc>
          <w:tcPr>
            <w:tcW w:w="298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3920" w:type="dxa"/>
            <w:vAlign w:val="bottom"/>
            <w:tcBorders>
              <w:bottom w:val="single" w:sz="8" w:color="auto"/>
            </w:tcBorders>
          </w:tcPr>
          <w:p>
            <w:pPr>
              <w:spacing w:after="0"/>
              <w:rPr>
                <w:sz w:val="24"/>
                <w:szCs w:val="24"/>
                <w:color w:val="auto"/>
              </w:rPr>
            </w:pPr>
          </w:p>
        </w:tc>
      </w:tr>
    </w:tbl>
    <w:p>
      <w:pPr>
        <w:spacing w:after="0" w:line="1" w:lineRule="exact"/>
        <w:rPr>
          <w:sz w:val="20"/>
          <w:szCs w:val="20"/>
          <w:color w:val="auto"/>
        </w:rPr>
      </w:pPr>
    </w:p>
    <w:sectPr>
      <w:pgSz w:w="11900" w:h="16838" w:orient="portrait"/>
      <w:cols w:equalWidth="0" w:num="1">
        <w:col w:w="11240"/>
      </w:cols>
      <w:pgMar w:left="320" w:top="796"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2020-11-02T15:22:01Z</dcterms:created>
  <dcterms:modified xsi:type="dcterms:W3CDTF">2020-11-02T15:22:01Z</dcterms:modified>
</cp:coreProperties>
</file>