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FORM 12b-25</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NOTIFICATION OF LATE FILING</w:t>
      </w:r>
    </w:p>
    <w:p>
      <w:pPr>
        <w:sectPr>
          <w:pgSz w:w="11900" w:h="16838" w:orient="portrait"/>
          <w:cols w:equalWidth="0" w:num="1">
            <w:col w:w="11240"/>
          </w:cols>
          <w:pgMar w:left="320" w:top="513" w:right="339" w:bottom="1440" w:gutter="0" w:footer="0" w:header="0"/>
        </w:sectPr>
      </w:pPr>
    </w:p>
    <w:p>
      <w:pPr>
        <w:spacing w:after="0" w:line="211" w:lineRule="exact"/>
        <w:rPr>
          <w:sz w:val="24"/>
          <w:szCs w:val="24"/>
          <w:color w:val="auto"/>
        </w:rPr>
      </w:pPr>
    </w:p>
    <w:p>
      <w:pPr>
        <w:spacing w:after="0"/>
        <w:rPr>
          <w:sz w:val="20"/>
          <w:szCs w:val="20"/>
          <w:color w:val="auto"/>
        </w:rPr>
      </w:pPr>
      <w:r>
        <w:rPr>
          <w:rFonts w:ascii="Arial" w:cs="Arial" w:eastAsia="Arial" w:hAnsi="Arial"/>
          <w:sz w:val="16"/>
          <w:szCs w:val="16"/>
          <w:i w:val="1"/>
          <w:iCs w:val="1"/>
          <w:color w:val="auto"/>
        </w:rPr>
        <w:t>(Check one):</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Form 10-K</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Form 20-F</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81" w:lineRule="exact"/>
        <w:rPr>
          <w:sz w:val="20"/>
          <w:szCs w:val="20"/>
          <w:color w:val="auto"/>
        </w:rPr>
      </w:pP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Form 11-K</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Form 10-Q</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Form 10-D</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spacing w:after="0" w:line="184" w:lineRule="exact"/>
        <w:rPr>
          <w:sz w:val="20"/>
          <w:szCs w:val="20"/>
          <w:color w:val="auto"/>
        </w:rPr>
      </w:pPr>
      <w:r>
        <w:rPr>
          <w:rFonts w:ascii="MS PGothic" w:cs="MS PGothic" w:eastAsia="MS PGothic" w:hAnsi="MS PGothic"/>
          <w:sz w:val="16"/>
          <w:szCs w:val="16"/>
          <w:color w:val="auto"/>
        </w:rPr>
        <w:t>☐</w:t>
      </w:r>
      <w:r>
        <w:rPr>
          <w:rFonts w:ascii="Arial" w:cs="Arial" w:eastAsia="Arial" w:hAnsi="Arial"/>
          <w:sz w:val="16"/>
          <w:szCs w:val="16"/>
          <w:color w:val="auto"/>
        </w:rPr>
        <w:t xml:space="preserve"> Form N-CEN</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91" w:lineRule="exact"/>
        <w:rPr>
          <w:sz w:val="24"/>
          <w:szCs w:val="24"/>
          <w:color w:val="auto"/>
        </w:rPr>
      </w:pPr>
    </w:p>
    <w:p>
      <w:pPr>
        <w:spacing w:after="0"/>
        <w:rPr>
          <w:sz w:val="20"/>
          <w:szCs w:val="20"/>
          <w:color w:val="auto"/>
        </w:rPr>
      </w:pPr>
      <w:r>
        <w:rPr>
          <w:rFonts w:ascii="Arial" w:cs="Arial" w:eastAsia="Arial" w:hAnsi="Arial"/>
          <w:sz w:val="16"/>
          <w:szCs w:val="16"/>
          <w:color w:val="auto"/>
        </w:rPr>
        <w:t>Form N-CSR</w:t>
      </w:r>
    </w:p>
    <w:p>
      <w:pPr>
        <w:spacing w:after="0" w:line="200" w:lineRule="exact"/>
        <w:rPr>
          <w:sz w:val="24"/>
          <w:szCs w:val="24"/>
          <w:color w:val="auto"/>
        </w:rPr>
      </w:pPr>
    </w:p>
    <w:p>
      <w:pPr>
        <w:sectPr>
          <w:pgSz w:w="11900" w:h="16838" w:orient="portrait"/>
          <w:cols w:equalWidth="0" w:num="12">
            <w:col w:w="940" w:space="140"/>
            <w:col w:w="1000" w:space="180"/>
            <w:col w:w="160" w:space="60"/>
            <w:col w:w="780" w:space="160"/>
            <w:col w:w="180" w:space="40"/>
            <w:col w:w="800" w:space="80"/>
            <w:col w:w="160" w:space="100"/>
            <w:col w:w="800" w:space="180"/>
            <w:col w:w="1020" w:space="180"/>
            <w:col w:w="1180" w:space="180"/>
            <w:col w:w="160" w:space="60"/>
            <w:col w:w="2700"/>
          </w:cols>
          <w:pgMar w:left="320" w:top="513" w:right="339" w:bottom="1440" w:gutter="0" w:footer="0" w:header="0"/>
          <w:type w:val="continuous"/>
        </w:sectPr>
      </w:pPr>
    </w:p>
    <w:p>
      <w:pPr>
        <w:spacing w:after="0" w:line="48" w:lineRule="exact"/>
        <w:rPr>
          <w:sz w:val="24"/>
          <w:szCs w:val="24"/>
          <w:color w:val="auto"/>
        </w:rPr>
      </w:pPr>
    </w:p>
    <w:p>
      <w:pPr>
        <w:ind w:left="580"/>
        <w:spacing w:after="0"/>
        <w:rPr>
          <w:sz w:val="20"/>
          <w:szCs w:val="20"/>
          <w:color w:val="auto"/>
        </w:rPr>
      </w:pPr>
      <w:r>
        <w:rPr>
          <w:rFonts w:ascii="Arial" w:cs="Arial" w:eastAsia="Arial" w:hAnsi="Arial"/>
          <w:sz w:val="16"/>
          <w:szCs w:val="16"/>
          <w:color w:val="auto"/>
        </w:rPr>
        <w:t>For Period Ended:</w:t>
      </w:r>
    </w:p>
    <w:p>
      <w:pPr>
        <w:spacing w:after="0" w:line="20" w:lineRule="exact"/>
        <w:rPr>
          <w:sz w:val="24"/>
          <w:szCs w:val="24"/>
          <w:color w:val="auto"/>
        </w:rPr>
      </w:pPr>
      <w:r>
        <w:rPr>
          <w:sz w:val="24"/>
          <w:szCs w:val="24"/>
          <w:color w:val="auto"/>
        </w:rPr>
        <w:br w:type="column"/>
      </w:r>
    </w:p>
    <w:p>
      <w:pPr>
        <w:spacing w:after="0" w:line="24"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March 31, 2021</w:t>
      </w:r>
    </w:p>
    <w:p>
      <w:pPr>
        <w:spacing w:after="0" w:line="204" w:lineRule="exact"/>
        <w:rPr>
          <w:sz w:val="24"/>
          <w:szCs w:val="24"/>
          <w:color w:val="auto"/>
        </w:rPr>
      </w:pPr>
    </w:p>
    <w:p>
      <w:pPr>
        <w:sectPr>
          <w:pgSz w:w="11900" w:h="16838" w:orient="portrait"/>
          <w:cols w:equalWidth="0" w:num="2">
            <w:col w:w="2220" w:space="720"/>
            <w:col w:w="8300"/>
          </w:cols>
          <w:pgMar w:left="320" w:top="513" w:right="339" w:bottom="1440" w:gutter="0" w:footer="0" w:header="0"/>
          <w:type w:val="continuous"/>
        </w:sectPr>
      </w:pPr>
    </w:p>
    <w:p>
      <w:pPr>
        <w:spacing w:after="0" w:line="62" w:lineRule="exact"/>
        <w:rPr>
          <w:sz w:val="24"/>
          <w:szCs w:val="24"/>
          <w:color w:val="auto"/>
        </w:rPr>
      </w:pPr>
    </w:p>
    <w:p>
      <w:pPr>
        <w:ind w:left="1040" w:hanging="465"/>
        <w:spacing w:after="0"/>
        <w:tabs>
          <w:tab w:leader="none" w:pos="10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10-K</w:t>
      </w:r>
    </w:p>
    <w:p>
      <w:pPr>
        <w:spacing w:after="0" w:line="225" w:lineRule="exact"/>
        <w:rPr>
          <w:rFonts w:ascii="MS PGothic" w:cs="MS PGothic" w:eastAsia="MS PGothic" w:hAnsi="MS PGothic"/>
          <w:sz w:val="18"/>
          <w:szCs w:val="18"/>
          <w:color w:val="auto"/>
        </w:rPr>
      </w:pPr>
    </w:p>
    <w:p>
      <w:pPr>
        <w:ind w:left="1040" w:hanging="465"/>
        <w:spacing w:after="0"/>
        <w:tabs>
          <w:tab w:leader="none" w:pos="10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20-F</w:t>
      </w:r>
    </w:p>
    <w:p>
      <w:pPr>
        <w:spacing w:after="0" w:line="225" w:lineRule="exact"/>
        <w:rPr>
          <w:rFonts w:ascii="MS PGothic" w:cs="MS PGothic" w:eastAsia="MS PGothic" w:hAnsi="MS PGothic"/>
          <w:sz w:val="18"/>
          <w:szCs w:val="18"/>
          <w:color w:val="auto"/>
        </w:rPr>
      </w:pPr>
    </w:p>
    <w:p>
      <w:pPr>
        <w:ind w:left="1040" w:hanging="465"/>
        <w:spacing w:after="0"/>
        <w:tabs>
          <w:tab w:leader="none" w:pos="10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11-K</w:t>
      </w:r>
    </w:p>
    <w:p>
      <w:pPr>
        <w:spacing w:after="0" w:line="225" w:lineRule="exact"/>
        <w:rPr>
          <w:rFonts w:ascii="MS PGothic" w:cs="MS PGothic" w:eastAsia="MS PGothic" w:hAnsi="MS PGothic"/>
          <w:sz w:val="18"/>
          <w:szCs w:val="18"/>
          <w:color w:val="auto"/>
        </w:rPr>
      </w:pPr>
    </w:p>
    <w:p>
      <w:pPr>
        <w:ind w:left="580" w:right="7860" w:hanging="5"/>
        <w:spacing w:after="0" w:line="555" w:lineRule="auto"/>
        <w:tabs>
          <w:tab w:leader="none" w:pos="1039" w:val="left"/>
        </w:tabs>
        <w:numPr>
          <w:ilvl w:val="0"/>
          <w:numId w:val="1"/>
        </w:numPr>
        <w:rPr>
          <w:rFonts w:ascii="MS PGothic" w:cs="MS PGothic" w:eastAsia="MS PGothic" w:hAnsi="MS PGothic"/>
          <w:sz w:val="17"/>
          <w:szCs w:val="17"/>
          <w:color w:val="auto"/>
        </w:rPr>
      </w:pPr>
      <w:r>
        <w:rPr>
          <w:rFonts w:ascii="Arial" w:cs="Arial" w:eastAsia="Arial" w:hAnsi="Arial"/>
          <w:sz w:val="17"/>
          <w:szCs w:val="17"/>
          <w:color w:val="auto"/>
        </w:rPr>
        <w:t>Transition Report on Form 10-Q For the Transition Period Ended: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2576830</wp:posOffset>
            </wp:positionH>
            <wp:positionV relativeFrom="paragraph">
              <wp:posOffset>-153035</wp:posOffset>
            </wp:positionV>
            <wp:extent cx="456057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560570" cy="17145"/>
                    </a:xfrm>
                    <a:prstGeom prst="rect">
                      <a:avLst/>
                    </a:prstGeom>
                    <a:noFill/>
                  </pic:spPr>
                </pic:pic>
              </a:graphicData>
            </a:graphic>
          </wp:anchor>
        </w:drawing>
      </w:r>
    </w:p>
    <w:p>
      <w:pPr>
        <w:jc w:val="center"/>
        <w:spacing w:after="0"/>
        <w:rPr>
          <w:sz w:val="20"/>
          <w:szCs w:val="20"/>
          <w:color w:val="auto"/>
        </w:rPr>
      </w:pPr>
      <w:r>
        <w:rPr>
          <w:rFonts w:ascii="Arial" w:cs="Arial" w:eastAsia="Arial" w:hAnsi="Arial"/>
          <w:sz w:val="18"/>
          <w:szCs w:val="18"/>
          <w:i w:val="1"/>
          <w:iCs w:val="1"/>
          <w:color w:val="auto"/>
        </w:rPr>
        <w:t>Read Instructions (on back page) Before Preparing Form. Please Print or Type.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2914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291465"/>
                    </a:xfrm>
                    <a:prstGeom prst="rect">
                      <a:avLst/>
                    </a:prstGeom>
                    <a:noFill/>
                  </pic:spPr>
                </pic:pic>
              </a:graphicData>
            </a:graphic>
          </wp:anchor>
        </w:drawing>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Nothing in this form shall be construed to imply that the Commission has verified any information contained herein.</w:t>
      </w:r>
    </w:p>
    <w:p>
      <w:pPr>
        <w:spacing w:after="0" w:line="224" w:lineRule="exact"/>
        <w:rPr>
          <w:sz w:val="24"/>
          <w:szCs w:val="24"/>
          <w:color w:val="auto"/>
        </w:rPr>
      </w:pPr>
    </w:p>
    <w:p>
      <w:pPr>
        <w:spacing w:after="0"/>
        <w:rPr>
          <w:sz w:val="20"/>
          <w:szCs w:val="20"/>
          <w:color w:val="auto"/>
        </w:rPr>
      </w:pPr>
      <w:r>
        <w:rPr>
          <w:rFonts w:ascii="Arial" w:cs="Arial" w:eastAsia="Arial" w:hAnsi="Arial"/>
          <w:sz w:val="18"/>
          <w:szCs w:val="18"/>
          <w:color w:val="auto"/>
        </w:rPr>
        <w:t>If the notification relates to a portion of the filing checked above, identify the Item(s) to which the notification relates: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151765</wp:posOffset>
            </wp:positionV>
            <wp:extent cx="712343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2343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PART I — REGISTRANT INFORMATION</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GWG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Full Name of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spacing w:after="0"/>
        <w:rPr>
          <w:sz w:val="20"/>
          <w:szCs w:val="20"/>
          <w:color w:val="auto"/>
        </w:rPr>
      </w:pPr>
      <w:r>
        <w:rPr>
          <w:rFonts w:ascii="Arial" w:cs="Arial" w:eastAsia="Arial" w:hAnsi="Arial"/>
          <w:sz w:val="18"/>
          <w:szCs w:val="18"/>
          <w:color w:val="auto"/>
        </w:rPr>
        <w:t>Former Name if Applicable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325 N. St. Paul Street, Suite 2650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Address of Principal Executive Office (Street and Number)</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Dallas, Texas 75201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City, State and Zip Code:</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PART II — RULES 12b-25(b) AND (c)</w:t>
      </w:r>
    </w:p>
    <w:p>
      <w:pPr>
        <w:spacing w:after="0" w:line="229"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If the subject report could not be filed without unreasonable effort or expense and the registrant seeks relief pursuant to Rule 12b-25(b), the following should be completed. (Check box if appropriate)</w:t>
      </w:r>
    </w:p>
    <w:p>
      <w:pPr>
        <w:spacing w:after="0" w:line="170" w:lineRule="exact"/>
        <w:rPr>
          <w:sz w:val="24"/>
          <w:szCs w:val="24"/>
          <w:color w:val="auto"/>
        </w:rPr>
      </w:pPr>
    </w:p>
    <w:p>
      <w:pPr>
        <w:ind w:left="980" w:hanging="303"/>
        <w:spacing w:after="0"/>
        <w:tabs>
          <w:tab w:leader="none" w:pos="980" w:val="left"/>
        </w:tabs>
        <w:numPr>
          <w:ilvl w:val="1"/>
          <w:numId w:val="2"/>
        </w:numPr>
        <w:rPr>
          <w:rFonts w:ascii="Arial" w:cs="Arial" w:eastAsia="Arial" w:hAnsi="Arial"/>
          <w:sz w:val="18"/>
          <w:szCs w:val="18"/>
          <w:color w:val="auto"/>
        </w:rPr>
      </w:pPr>
      <w:r>
        <w:rPr>
          <w:rFonts w:ascii="Arial" w:cs="Arial" w:eastAsia="Arial" w:hAnsi="Arial"/>
          <w:sz w:val="18"/>
          <w:szCs w:val="18"/>
          <w:color w:val="auto"/>
        </w:rPr>
        <w:t>The reason described in reasonable detail in Part III of this form could not be eliminated without unreasonable effort or expense;</w:t>
      </w:r>
    </w:p>
    <w:p>
      <w:pPr>
        <w:spacing w:after="0" w:line="225" w:lineRule="exact"/>
        <w:rPr>
          <w:rFonts w:ascii="Arial" w:cs="Arial" w:eastAsia="Arial" w:hAnsi="Arial"/>
          <w:sz w:val="18"/>
          <w:szCs w:val="18"/>
          <w:color w:val="auto"/>
        </w:rPr>
      </w:pPr>
    </w:p>
    <w:p>
      <w:pPr>
        <w:ind w:left="980" w:right="40" w:hanging="920"/>
        <w:spacing w:after="0" w:line="259" w:lineRule="auto"/>
        <w:tabs>
          <w:tab w:leader="none" w:pos="669"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(b) The subject annual report, semi-annual report, transition report on Form 10-K, Form 20-F, Form 11-K, Form N-CEN or Form N-CSR, or portion thereof, will be filed on or before the fifteenth calendar day following the prescribed due date; or the subject quarterly report or transition report on Form 10-Q or subject distribution report on Form 10-D, or portion thereof, will be filed on or before the fifth calendar day following the prescribed due date; and</w:t>
      </w:r>
    </w:p>
    <w:p>
      <w:pPr>
        <w:spacing w:after="0" w:line="186" w:lineRule="exact"/>
        <w:rPr>
          <w:rFonts w:ascii="MS PGothic" w:cs="MS PGothic" w:eastAsia="MS PGothic" w:hAnsi="MS PGothic"/>
          <w:sz w:val="18"/>
          <w:szCs w:val="18"/>
          <w:color w:val="auto"/>
        </w:rPr>
      </w:pPr>
    </w:p>
    <w:p>
      <w:pPr>
        <w:ind w:left="980" w:hanging="303"/>
        <w:spacing w:after="0"/>
        <w:tabs>
          <w:tab w:leader="none" w:pos="980" w:val="left"/>
        </w:tabs>
        <w:numPr>
          <w:ilvl w:val="1"/>
          <w:numId w:val="3"/>
        </w:numPr>
        <w:rPr>
          <w:rFonts w:ascii="Arial" w:cs="Arial" w:eastAsia="Arial" w:hAnsi="Arial"/>
          <w:sz w:val="18"/>
          <w:szCs w:val="18"/>
          <w:color w:val="auto"/>
        </w:rPr>
      </w:pPr>
      <w:r>
        <w:rPr>
          <w:rFonts w:ascii="Arial" w:cs="Arial" w:eastAsia="Arial" w:hAnsi="Arial"/>
          <w:sz w:val="18"/>
          <w:szCs w:val="18"/>
          <w:color w:val="auto"/>
        </w:rPr>
        <w:t>The accountant’s statement or other exhibit required by Rule 12b-25(c) has been attached if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296545</wp:posOffset>
            </wp:positionH>
            <wp:positionV relativeFrom="paragraph">
              <wp:posOffset>-1082040</wp:posOffset>
            </wp:positionV>
            <wp:extent cx="8890" cy="10972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8890" cy="109728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374650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PART III — NARRATIVE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State below in reasonable detail why Forms 10-K, 20-F, 11-K, 10-Q, 10-D, N-CEN, N-CSR, or the transition report or portion thereof, could not be filed within the prescribed time period.</w:t>
      </w:r>
    </w:p>
    <w:p>
      <w:pPr>
        <w:spacing w:after="0" w:line="170"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GWG Holdings, Inc. (the “Company”) is unable to file its Quarterly Report on Form 10-Q for the period ended March 31, 2021 (the “Form 10-Q”) within the prescribed time period because the Company requires additional time to complete its financial statements and related disclosures to be included in the Form 10-Q. On April 1, 2021, the Company filed with the Securities and Exchange Commission a Form 12b-25, Notification of Late Filing, with regard to its Annual Report on Form 10-K for the fiscal year ended December 31, 2020 (the “Form 10-K”) because the Company required additional time to complete its financial statements and related disclosures. The Company has not finalized its financial statements for the Form 10-K, and the Company is not in a position to file its Form 10-Q until after the financial statements for the Form 10-K have been finalized.</w:t>
      </w:r>
    </w:p>
    <w:p>
      <w:pPr>
        <w:spacing w:after="0" w:line="178"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Company currently is not certain whether it will be able to file its Form 10-Q within the five-calendar day extension period provided under Rule 12b-25.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IV —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(1)  Name and telephone number of person to contact in regard to this notification</w:t>
      </w:r>
    </w:p>
    <w:p>
      <w:pPr>
        <w:spacing w:after="0" w:line="239" w:lineRule="exact"/>
        <w:rPr>
          <w:sz w:val="20"/>
          <w:szCs w:val="20"/>
          <w:color w:val="auto"/>
        </w:rPr>
      </w:pPr>
    </w:p>
    <w:tbl>
      <w:tblPr>
        <w:tblLayout w:type="fixed"/>
        <w:tblInd w:w="340" w:type="dxa"/>
        <w:tblCellMar>
          <w:top w:w="0" w:type="dxa"/>
          <w:left w:w="0" w:type="dxa"/>
          <w:bottom w:w="0" w:type="dxa"/>
          <w:right w:w="0" w:type="dxa"/>
        </w:tblCellMar>
      </w:tblPr>
      <w:tr>
        <w:trPr>
          <w:trHeight w:val="237"/>
        </w:trPr>
        <w:tc>
          <w:tcPr>
            <w:tcW w:w="3480" w:type="dxa"/>
            <w:vAlign w:val="bottom"/>
            <w:gridSpan w:val="2"/>
          </w:tcPr>
          <w:p>
            <w:pPr>
              <w:jc w:val="center"/>
              <w:ind w:right="180"/>
              <w:spacing w:after="0"/>
              <w:rPr>
                <w:sz w:val="20"/>
                <w:szCs w:val="20"/>
                <w:color w:val="auto"/>
              </w:rPr>
            </w:pPr>
            <w:r>
              <w:rPr>
                <w:rFonts w:ascii="Arial" w:cs="Arial" w:eastAsia="Arial" w:hAnsi="Arial"/>
                <w:sz w:val="18"/>
                <w:szCs w:val="18"/>
                <w:color w:val="auto"/>
                <w:w w:val="92"/>
              </w:rPr>
              <w:t>Timothy Evans</w:t>
            </w:r>
          </w:p>
        </w:tc>
        <w:tc>
          <w:tcPr>
            <w:tcW w:w="2700" w:type="dxa"/>
            <w:vAlign w:val="bottom"/>
          </w:tcPr>
          <w:p>
            <w:pPr>
              <w:jc w:val="right"/>
              <w:ind w:right="1070"/>
              <w:spacing w:after="0"/>
              <w:rPr>
                <w:sz w:val="20"/>
                <w:szCs w:val="20"/>
                <w:color w:val="auto"/>
              </w:rPr>
            </w:pPr>
            <w:r>
              <w:rPr>
                <w:rFonts w:ascii="Arial" w:cs="Arial" w:eastAsia="Arial" w:hAnsi="Arial"/>
                <w:sz w:val="18"/>
                <w:szCs w:val="18"/>
                <w:color w:val="auto"/>
              </w:rPr>
              <w:t>(267)</w:t>
            </w:r>
          </w:p>
        </w:tc>
        <w:tc>
          <w:tcPr>
            <w:tcW w:w="180" w:type="dxa"/>
            <w:vAlign w:val="bottom"/>
          </w:tcPr>
          <w:p>
            <w:pPr>
              <w:spacing w:after="0"/>
              <w:rPr>
                <w:sz w:val="20"/>
                <w:szCs w:val="20"/>
                <w:color w:val="auto"/>
              </w:rPr>
            </w:pPr>
          </w:p>
        </w:tc>
        <w:tc>
          <w:tcPr>
            <w:tcW w:w="4540" w:type="dxa"/>
            <w:vAlign w:val="bottom"/>
          </w:tcPr>
          <w:p>
            <w:pPr>
              <w:jc w:val="right"/>
              <w:ind w:right="1830"/>
              <w:spacing w:after="0"/>
              <w:rPr>
                <w:sz w:val="20"/>
                <w:szCs w:val="20"/>
                <w:color w:val="auto"/>
              </w:rPr>
            </w:pPr>
            <w:r>
              <w:rPr>
                <w:rFonts w:ascii="Arial" w:cs="Arial" w:eastAsia="Arial" w:hAnsi="Arial"/>
                <w:sz w:val="18"/>
                <w:szCs w:val="18"/>
                <w:color w:val="auto"/>
              </w:rPr>
              <w:t>258-2856</w:t>
            </w:r>
          </w:p>
        </w:tc>
      </w:tr>
      <w:tr>
        <w:trPr>
          <w:trHeight w:val="230"/>
        </w:trPr>
        <w:tc>
          <w:tcPr>
            <w:tcW w:w="33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(Name)</w:t>
            </w:r>
          </w:p>
        </w:tc>
        <w:tc>
          <w:tcPr>
            <w:tcW w:w="160" w:type="dxa"/>
            <w:vAlign w:val="bottom"/>
          </w:tcPr>
          <w:p>
            <w:pPr>
              <w:spacing w:after="0"/>
              <w:rPr>
                <w:sz w:val="20"/>
                <w:szCs w:val="20"/>
                <w:color w:val="auto"/>
              </w:rPr>
            </w:pPr>
          </w:p>
        </w:tc>
        <w:tc>
          <w:tcPr>
            <w:tcW w:w="2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(Area Code)</w:t>
            </w:r>
          </w:p>
        </w:tc>
        <w:tc>
          <w:tcPr>
            <w:tcW w:w="180" w:type="dxa"/>
            <w:vAlign w:val="bottom"/>
          </w:tcPr>
          <w:p>
            <w:pPr>
              <w:spacing w:after="0"/>
              <w:rPr>
                <w:sz w:val="20"/>
                <w:szCs w:val="20"/>
                <w:color w:val="auto"/>
              </w:rPr>
            </w:pPr>
          </w:p>
        </w:tc>
        <w:tc>
          <w:tcPr>
            <w:tcW w:w="454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(Telephone Number)</w:t>
            </w:r>
          </w:p>
        </w:tc>
      </w:tr>
    </w:tbl>
    <w:p>
      <w:pPr>
        <w:spacing w:after="0" w:line="201" w:lineRule="exact"/>
        <w:rPr>
          <w:sz w:val="20"/>
          <w:szCs w:val="20"/>
          <w:color w:val="auto"/>
        </w:rPr>
      </w:pPr>
    </w:p>
    <w:p>
      <w:pPr>
        <w:jc w:val="both"/>
        <w:ind w:left="340" w:hanging="332"/>
        <w:spacing w:after="0" w:line="255"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answer is no, identify report(s).</w:t>
      </w:r>
    </w:p>
    <w:p>
      <w:pPr>
        <w:spacing w:after="0" w:line="3" w:lineRule="exact"/>
        <w:rPr>
          <w:sz w:val="20"/>
          <w:szCs w:val="20"/>
          <w:color w:val="auto"/>
        </w:rPr>
      </w:pPr>
    </w:p>
    <w:p>
      <w:pPr>
        <w:ind w:left="10180"/>
        <w:spacing w:after="0" w:line="207" w:lineRule="exact"/>
        <w:rPr>
          <w:sz w:val="20"/>
          <w:szCs w:val="20"/>
          <w:color w:val="auto"/>
        </w:rPr>
      </w:pPr>
      <w:r>
        <w:rPr>
          <w:rFonts w:ascii="Arial" w:cs="Arial" w:eastAsia="Arial" w:hAnsi="Arial"/>
          <w:sz w:val="17"/>
          <w:szCs w:val="17"/>
          <w:color w:val="auto"/>
        </w:rPr>
        <w:t xml:space="preserve">Yes </w:t>
      </w:r>
      <w:r>
        <w:rPr>
          <w:rFonts w:ascii="MS PGothic" w:cs="MS PGothic" w:eastAsia="MS PGothic" w:hAnsi="MS PGothic"/>
          <w:sz w:val="18"/>
          <w:szCs w:val="18"/>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3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Annual Report on Form 10-K for the fiscal year ended December 31,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210820</wp:posOffset>
            </wp:positionH>
            <wp:positionV relativeFrom="paragraph">
              <wp:posOffset>4445</wp:posOffset>
            </wp:positionV>
            <wp:extent cx="692658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26580" cy="17145"/>
                    </a:xfrm>
                    <a:prstGeom prst="rect">
                      <a:avLst/>
                    </a:prstGeom>
                    <a:noFill/>
                  </pic:spPr>
                </pic:pic>
              </a:graphicData>
            </a:graphic>
          </wp:anchor>
        </w:drawing>
      </w:r>
    </w:p>
    <w:p>
      <w:pPr>
        <w:spacing w:after="0" w:line="216" w:lineRule="exact"/>
        <w:rPr>
          <w:sz w:val="20"/>
          <w:szCs w:val="20"/>
          <w:color w:val="auto"/>
        </w:rPr>
      </w:pPr>
    </w:p>
    <w:p>
      <w:pPr>
        <w:ind w:left="340" w:hanging="332"/>
        <w:spacing w:after="0" w:line="258" w:lineRule="auto"/>
        <w:tabs>
          <w:tab w:leader="none" w:pos="340" w:val="left"/>
        </w:tabs>
        <w:numPr>
          <w:ilvl w:val="0"/>
          <w:numId w:val="5"/>
        </w:numPr>
        <w:rPr>
          <w:rFonts w:ascii="Arial" w:cs="Arial" w:eastAsia="Arial" w:hAnsi="Arial"/>
          <w:sz w:val="18"/>
          <w:szCs w:val="18"/>
          <w:color w:val="auto"/>
        </w:rPr>
      </w:pPr>
      <w:r>
        <w:rPr>
          <w:rFonts w:ascii="Arial" w:cs="Arial" w:eastAsia="Arial" w:hAnsi="Arial"/>
          <w:sz w:val="18"/>
          <w:szCs w:val="18"/>
          <w:color w:val="auto"/>
        </w:rPr>
        <w:t>Is it anticipated that any significant change in results of operations from the corresponding period for the last fiscal year will be reflected by the earnings statements to be included in the subject report or portion thereof?</w:t>
      </w:r>
    </w:p>
    <w:p>
      <w:pPr>
        <w:spacing w:after="0" w:line="1" w:lineRule="exact"/>
        <w:rPr>
          <w:sz w:val="20"/>
          <w:szCs w:val="20"/>
          <w:color w:val="auto"/>
        </w:rPr>
      </w:pPr>
    </w:p>
    <w:p>
      <w:pPr>
        <w:jc w:val="right"/>
        <w:spacing w:after="0" w:line="230" w:lineRule="exact"/>
        <w:rPr>
          <w:sz w:val="20"/>
          <w:szCs w:val="20"/>
          <w:color w:val="auto"/>
        </w:rPr>
      </w:pPr>
      <w:r>
        <w:rPr>
          <w:rFonts w:ascii="Arial" w:cs="Arial" w:eastAsia="Arial" w:hAnsi="Arial"/>
          <w:sz w:val="20"/>
          <w:szCs w:val="20"/>
          <w:color w:val="auto"/>
        </w:rPr>
        <w:t xml:space="preserve">Yes </w:t>
      </w:r>
      <w:r>
        <w:rPr>
          <w:rFonts w:ascii="MS PGothic" w:cs="MS PGothic" w:eastAsia="MS PGothic" w:hAnsi="MS PGothic"/>
          <w:sz w:val="20"/>
          <w:szCs w:val="20"/>
          <w:color w:val="auto"/>
        </w:rPr>
        <w:t>☐</w:t>
      </w:r>
      <w:r>
        <w:rPr>
          <w:rFonts w:ascii="Arial" w:cs="Arial" w:eastAsia="Arial" w:hAnsi="Arial"/>
          <w:sz w:val="20"/>
          <w:szCs w:val="20"/>
          <w:color w:val="auto"/>
        </w:rPr>
        <w:t xml:space="preserve"> No </w:t>
      </w:r>
      <w:r>
        <w:rPr>
          <w:rFonts w:ascii="MS PGothic" w:cs="MS PGothic" w:eastAsia="MS PGothic" w:hAnsi="MS PGothic"/>
          <w:sz w:val="20"/>
          <w:szCs w:val="20"/>
          <w:color w:val="auto"/>
        </w:rPr>
        <w:t>☒</w:t>
      </w:r>
    </w:p>
    <w:p>
      <w:pPr>
        <w:spacing w:after="0" w:line="200" w:lineRule="exact"/>
        <w:rPr>
          <w:sz w:val="20"/>
          <w:szCs w:val="20"/>
          <w:color w:val="auto"/>
        </w:rPr>
      </w:pPr>
    </w:p>
    <w:p>
      <w:pPr>
        <w:spacing w:after="0" w:line="2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Note: This Form 12b-25 contains “forward-looking statements” within the meaning of the Private Securities Litigation Reform Act of 1995 that involve risks and uncertainties. Such forward-looking statements include, but are not limited to, statements relating to the timing of the filing of the Form 10-Q. There can be no assurance that these forward-looking statements will be achieved, and actual results could differ materially from those suggested by the forward-looking statements. Therefore, the forward-looking statements in this Form 12b-25 should be considered in light of the risks and uncertainties that attend such statements. The Company makes no commitment to revise or update any forward-looking statements in order to reflect events or circumstances after the date any such statement is made, except as required by law.</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7"/>
        </w:trPr>
        <w:tc>
          <w:tcPr>
            <w:tcW w:w="54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tcPr>
          <w:p>
            <w:pPr>
              <w:spacing w:after="0"/>
              <w:rPr>
                <w:sz w:val="20"/>
                <w:szCs w:val="20"/>
                <w:color w:val="auto"/>
              </w:rPr>
            </w:pPr>
          </w:p>
        </w:tc>
        <w:tc>
          <w:tcPr>
            <w:tcW w:w="8380" w:type="dxa"/>
            <w:vAlign w:val="bottom"/>
            <w:tcBorders>
              <w:bottom w:val="single" w:sz="8" w:color="auto"/>
            </w:tcBorders>
            <w:gridSpan w:val="2"/>
          </w:tcPr>
          <w:p>
            <w:pPr>
              <w:jc w:val="center"/>
              <w:ind w:right="2750"/>
              <w:spacing w:after="0"/>
              <w:rPr>
                <w:sz w:val="20"/>
                <w:szCs w:val="20"/>
                <w:color w:val="auto"/>
              </w:rPr>
            </w:pPr>
            <w:r>
              <w:rPr>
                <w:rFonts w:ascii="Arial" w:cs="Arial" w:eastAsia="Arial" w:hAnsi="Arial"/>
                <w:sz w:val="18"/>
                <w:szCs w:val="18"/>
                <w:color w:val="auto"/>
                <w:w w:val="94"/>
              </w:rPr>
              <w:t>GWG Holdings, Inc.</w:t>
            </w:r>
          </w:p>
        </w:tc>
      </w:tr>
      <w:tr>
        <w:trPr>
          <w:trHeight w:val="230"/>
        </w:trPr>
        <w:tc>
          <w:tcPr>
            <w:tcW w:w="5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8380" w:type="dxa"/>
            <w:vAlign w:val="bottom"/>
            <w:gridSpan w:val="2"/>
          </w:tcPr>
          <w:p>
            <w:pPr>
              <w:jc w:val="center"/>
              <w:ind w:right="2750"/>
              <w:spacing w:after="0"/>
              <w:rPr>
                <w:sz w:val="20"/>
                <w:szCs w:val="20"/>
                <w:color w:val="auto"/>
              </w:rPr>
            </w:pPr>
            <w:r>
              <w:rPr>
                <w:rFonts w:ascii="Arial" w:cs="Arial" w:eastAsia="Arial" w:hAnsi="Arial"/>
                <w:sz w:val="18"/>
                <w:szCs w:val="18"/>
                <w:color w:val="auto"/>
                <w:w w:val="90"/>
              </w:rPr>
              <w:t>(Name of Registrant as Specified in Charter)</w:t>
            </w:r>
          </w:p>
        </w:tc>
      </w:tr>
      <w:tr>
        <w:trPr>
          <w:trHeight w:val="418"/>
        </w:trPr>
        <w:tc>
          <w:tcPr>
            <w:tcW w:w="11240" w:type="dxa"/>
            <w:vAlign w:val="bottom"/>
            <w:gridSpan w:val="4"/>
          </w:tcPr>
          <w:p>
            <w:pPr>
              <w:spacing w:after="0"/>
              <w:rPr>
                <w:sz w:val="20"/>
                <w:szCs w:val="20"/>
                <w:color w:val="auto"/>
              </w:rPr>
            </w:pPr>
            <w:r>
              <w:rPr>
                <w:rFonts w:ascii="Arial" w:cs="Arial" w:eastAsia="Arial" w:hAnsi="Arial"/>
                <w:sz w:val="18"/>
                <w:szCs w:val="18"/>
                <w:color w:val="auto"/>
              </w:rPr>
              <w:t>has caused this notification to be signed on its behalf by the undersigned hereunto duly authorized.</w:t>
            </w:r>
          </w:p>
        </w:tc>
      </w:tr>
      <w:tr>
        <w:trPr>
          <w:trHeight w:val="439"/>
        </w:trPr>
        <w:tc>
          <w:tcPr>
            <w:tcW w:w="540" w:type="dxa"/>
            <w:vAlign w:val="bottom"/>
          </w:tcPr>
          <w:p>
            <w:pPr>
              <w:spacing w:after="0"/>
              <w:rPr>
                <w:sz w:val="20"/>
                <w:szCs w:val="20"/>
                <w:color w:val="auto"/>
              </w:rPr>
            </w:pPr>
            <w:r>
              <w:rPr>
                <w:rFonts w:ascii="Arial" w:cs="Arial" w:eastAsia="Arial" w:hAnsi="Arial"/>
                <w:sz w:val="18"/>
                <w:szCs w:val="18"/>
                <w:color w:val="auto"/>
              </w:rPr>
              <w:t>Date:</w:t>
            </w:r>
          </w:p>
        </w:tc>
        <w:tc>
          <w:tcPr>
            <w:tcW w:w="2320" w:type="dxa"/>
            <w:vAlign w:val="bottom"/>
          </w:tcPr>
          <w:p>
            <w:pPr>
              <w:ind w:left="140"/>
              <w:spacing w:after="0"/>
              <w:rPr>
                <w:sz w:val="20"/>
                <w:szCs w:val="20"/>
                <w:color w:val="auto"/>
              </w:rPr>
            </w:pPr>
            <w:r>
              <w:rPr>
                <w:rFonts w:ascii="Arial" w:cs="Arial" w:eastAsia="Arial" w:hAnsi="Arial"/>
                <w:sz w:val="18"/>
                <w:szCs w:val="18"/>
                <w:color w:val="auto"/>
              </w:rPr>
              <w:t>May 18, 2021</w:t>
            </w:r>
          </w:p>
        </w:tc>
        <w:tc>
          <w:tcPr>
            <w:tcW w:w="8380" w:type="dxa"/>
            <w:vAlign w:val="bottom"/>
            <w:gridSpan w:val="2"/>
          </w:tcPr>
          <w:p>
            <w:pPr>
              <w:ind w:left="3900"/>
              <w:spacing w:after="0"/>
              <w:rPr>
                <w:sz w:val="20"/>
                <w:szCs w:val="20"/>
                <w:color w:val="auto"/>
              </w:rPr>
            </w:pPr>
            <w:r>
              <w:rPr>
                <w:rFonts w:ascii="Arial" w:cs="Arial" w:eastAsia="Arial" w:hAnsi="Arial"/>
                <w:sz w:val="18"/>
                <w:szCs w:val="18"/>
                <w:color w:val="auto"/>
              </w:rPr>
              <w:t>By:  /s/ Timothy Evans</w:t>
            </w:r>
          </w:p>
        </w:tc>
      </w:tr>
      <w:tr>
        <w:trPr>
          <w:trHeight w:val="202"/>
        </w:trPr>
        <w:tc>
          <w:tcPr>
            <w:tcW w:w="540" w:type="dxa"/>
            <w:vAlign w:val="bottom"/>
          </w:tcPr>
          <w:p>
            <w:pPr>
              <w:spacing w:after="0"/>
              <w:rPr>
                <w:sz w:val="17"/>
                <w:szCs w:val="17"/>
                <w:color w:val="auto"/>
              </w:rPr>
            </w:pPr>
          </w:p>
        </w:tc>
        <w:tc>
          <w:tcPr>
            <w:tcW w:w="2320" w:type="dxa"/>
            <w:vAlign w:val="bottom"/>
          </w:tcPr>
          <w:p>
            <w:pPr>
              <w:spacing w:after="0"/>
              <w:rPr>
                <w:sz w:val="17"/>
                <w:szCs w:val="17"/>
                <w:color w:val="auto"/>
              </w:rPr>
            </w:pPr>
          </w:p>
        </w:tc>
        <w:tc>
          <w:tcPr>
            <w:tcW w:w="4340" w:type="dxa"/>
            <w:vAlign w:val="bottom"/>
          </w:tcPr>
          <w:p>
            <w:pPr>
              <w:spacing w:after="0"/>
              <w:rPr>
                <w:sz w:val="17"/>
                <w:szCs w:val="17"/>
                <w:color w:val="auto"/>
              </w:rPr>
            </w:pPr>
          </w:p>
        </w:tc>
        <w:tc>
          <w:tcPr>
            <w:tcW w:w="404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Timothy Evans</w:t>
            </w:r>
          </w:p>
        </w:tc>
      </w:tr>
      <w:tr>
        <w:trPr>
          <w:trHeight w:val="230"/>
        </w:trPr>
        <w:tc>
          <w:tcPr>
            <w:tcW w:w="540" w:type="dxa"/>
            <w:vAlign w:val="bottom"/>
          </w:tcPr>
          <w:p>
            <w:pPr>
              <w:spacing w:after="0"/>
              <w:rPr>
                <w:sz w:val="20"/>
                <w:szCs w:val="20"/>
                <w:color w:val="auto"/>
              </w:rPr>
            </w:pPr>
          </w:p>
        </w:tc>
        <w:tc>
          <w:tcPr>
            <w:tcW w:w="2320" w:type="dxa"/>
            <w:vAlign w:val="bottom"/>
          </w:tcPr>
          <w:p>
            <w:pPr>
              <w:spacing w:after="0"/>
              <w:rPr>
                <w:sz w:val="20"/>
                <w:szCs w:val="20"/>
                <w:color w:val="auto"/>
              </w:rPr>
            </w:pPr>
          </w:p>
        </w:tc>
        <w:tc>
          <w:tcPr>
            <w:tcW w:w="4340" w:type="dxa"/>
            <w:vAlign w:val="bottom"/>
          </w:tcPr>
          <w:p>
            <w:pPr>
              <w:spacing w:after="0"/>
              <w:rPr>
                <w:sz w:val="20"/>
                <w:szCs w:val="20"/>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655"/>
        </w:trPr>
        <w:tc>
          <w:tcPr>
            <w:tcW w:w="54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tcPr>
          <w:p>
            <w:pPr>
              <w:jc w:val="center"/>
              <w:ind w:left="1090"/>
              <w:spacing w:after="0"/>
              <w:rPr>
                <w:sz w:val="20"/>
                <w:szCs w:val="20"/>
                <w:color w:val="auto"/>
              </w:rPr>
            </w:pPr>
            <w:r>
              <w:rPr>
                <w:rFonts w:ascii="Arial" w:cs="Arial" w:eastAsia="Arial" w:hAnsi="Arial"/>
                <w:sz w:val="18"/>
                <w:szCs w:val="18"/>
                <w:color w:val="auto"/>
                <w:w w:val="79"/>
              </w:rPr>
              <w:t>3</w:t>
            </w:r>
          </w:p>
        </w:tc>
        <w:tc>
          <w:tcPr>
            <w:tcW w:w="404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80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lvl w:ilvl="1">
      <w:lvlJc w:val="left"/>
      <w:lvlText w:val="(%2)"/>
      <w:numFmt w:val="lowerLetter"/>
      <w:start w:val="1"/>
    </w:lvl>
  </w:abstractNum>
  <w:abstractNum w:abstractNumId="2">
    <w:nsid w:val="625558EC"/>
    <w:multiLevelType w:val="hybridMultilevel"/>
    <w:lvl w:ilvl="0">
      <w:lvlJc w:val="left"/>
      <w:lvlText w:val="☐"/>
      <w:numFmt w:val="bullet"/>
      <w:start w:val="1"/>
    </w:lvl>
    <w:lvl w:ilvl="1">
      <w:lvlJc w:val="left"/>
      <w:lvlText w:val="(%2)"/>
      <w:numFmt w:val="lowerLetter"/>
      <w:start w:val="3"/>
    </w:lvl>
  </w:abstractNum>
  <w:abstractNum w:abstractNumId="3">
    <w:nsid w:val="238E1F29"/>
    <w:multiLevelType w:val="hybridMultilevel"/>
    <w:lvl w:ilvl="0">
      <w:lvlJc w:val="left"/>
      <w:lvlText w:val="(%1)"/>
      <w:numFmt w:val="decimal"/>
      <w:start w:val="2"/>
    </w:lvl>
  </w:abstractNum>
  <w:abstractNum w:abstractNumId="4">
    <w:nsid w:val="46E87CCD"/>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2021-05-18T15:13:58Z</dcterms:created>
  <dcterms:modified xsi:type="dcterms:W3CDTF">2021-05-18T15:13:58Z</dcterms:modified>
</cp:coreProperties>
</file>