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294640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328930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142875</wp:posOffset>
            </wp:positionV>
            <wp:extent cx="178308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83080" cy="17145"/>
                    </a:xfrm>
                    <a:prstGeom prst="rect">
                      <a:avLst/>
                    </a:prstGeom>
                    <a:noFill/>
                  </pic:spPr>
                </pic:pic>
              </a:graphicData>
            </a:graphic>
          </wp:anchor>
        </w:drawing>
      </w:r>
    </w:p>
    <w:p>
      <w:pPr>
        <w:spacing w:after="0" w:line="200" w:lineRule="exact"/>
        <w:rPr>
          <w:sz w:val="24"/>
          <w:szCs w:val="24"/>
          <w:color w:val="auto"/>
        </w:rPr>
      </w:pPr>
    </w:p>
    <w:p>
      <w:pPr>
        <w:spacing w:after="0" w:line="24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8-K</w:t>
      </w:r>
    </w:p>
    <w:p>
      <w:pPr>
        <w:spacing w:after="0" w:line="22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CURRENT REPORT</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Pursuant to Section 13 or 15(d) of</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the Securities Exchange Act of 1934</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June 11, 2021</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GWG Holdings, Inc.</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07"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4000" w:type="dxa"/>
            <w:vAlign w:val="bottom"/>
          </w:tcPr>
          <w:p>
            <w:pPr>
              <w:spacing w:after="0"/>
              <w:rPr>
                <w:sz w:val="20"/>
                <w:szCs w:val="20"/>
                <w:color w:val="auto"/>
              </w:rPr>
            </w:pPr>
          </w:p>
        </w:tc>
        <w:tc>
          <w:tcPr>
            <w:tcW w:w="7240" w:type="dxa"/>
            <w:vAlign w:val="bottom"/>
            <w:gridSpan w:val="3"/>
          </w:tcPr>
          <w:p>
            <w:pPr>
              <w:ind w:left="200"/>
              <w:spacing w:after="0"/>
              <w:rPr>
                <w:sz w:val="20"/>
                <w:szCs w:val="20"/>
                <w:color w:val="auto"/>
              </w:rPr>
            </w:pPr>
            <w:r>
              <w:rPr>
                <w:rFonts w:ascii="Arial" w:cs="Arial" w:eastAsia="Arial" w:hAnsi="Arial"/>
                <w:sz w:val="18"/>
                <w:szCs w:val="18"/>
                <w:color w:val="auto"/>
              </w:rPr>
              <w:t xml:space="preserve">Commission File Number:  </w:t>
            </w:r>
            <w:r>
              <w:rPr>
                <w:rFonts w:ascii="Arial" w:cs="Arial" w:eastAsia="Arial" w:hAnsi="Arial"/>
                <w:sz w:val="18"/>
                <w:szCs w:val="18"/>
                <w:b w:val="1"/>
                <w:bCs w:val="1"/>
                <w:color w:val="auto"/>
              </w:rPr>
              <w:t>001-36615</w:t>
            </w:r>
          </w:p>
        </w:tc>
      </w:tr>
      <w:tr>
        <w:trPr>
          <w:trHeight w:val="453"/>
        </w:trPr>
        <w:tc>
          <w:tcPr>
            <w:tcW w:w="4000" w:type="dxa"/>
            <w:vAlign w:val="bottom"/>
          </w:tcPr>
          <w:p>
            <w:pPr>
              <w:jc w:val="center"/>
              <w:ind w:left="1430"/>
              <w:spacing w:after="0"/>
              <w:rPr>
                <w:sz w:val="20"/>
                <w:szCs w:val="20"/>
                <w:color w:val="auto"/>
              </w:rPr>
            </w:pPr>
            <w:r>
              <w:rPr>
                <w:rFonts w:ascii="Arial" w:cs="Arial" w:eastAsia="Arial" w:hAnsi="Arial"/>
                <w:sz w:val="18"/>
                <w:szCs w:val="18"/>
                <w:b w:val="1"/>
                <w:bCs w:val="1"/>
                <w:color w:val="auto"/>
                <w:w w:val="91"/>
              </w:rPr>
              <w:t>Delaware</w:t>
            </w:r>
          </w:p>
        </w:tc>
        <w:tc>
          <w:tcPr>
            <w:tcW w:w="7240" w:type="dxa"/>
            <w:vAlign w:val="bottom"/>
            <w:gridSpan w:val="3"/>
          </w:tcPr>
          <w:p>
            <w:pPr>
              <w:jc w:val="center"/>
              <w:ind w:left="1650"/>
              <w:spacing w:after="0"/>
              <w:rPr>
                <w:sz w:val="20"/>
                <w:szCs w:val="20"/>
                <w:color w:val="auto"/>
              </w:rPr>
            </w:pPr>
            <w:r>
              <w:rPr>
                <w:rFonts w:ascii="Arial" w:cs="Arial" w:eastAsia="Arial" w:hAnsi="Arial"/>
                <w:sz w:val="18"/>
                <w:szCs w:val="18"/>
                <w:b w:val="1"/>
                <w:bCs w:val="1"/>
                <w:color w:val="auto"/>
                <w:w w:val="89"/>
              </w:rPr>
              <w:t>26-2222607</w:t>
            </w:r>
          </w:p>
        </w:tc>
      </w:tr>
      <w:tr>
        <w:trPr>
          <w:trHeight w:val="202"/>
        </w:trPr>
        <w:tc>
          <w:tcPr>
            <w:tcW w:w="4000" w:type="dxa"/>
            <w:vAlign w:val="bottom"/>
            <w:tcBorders>
              <w:top w:val="single" w:sz="8" w:color="auto"/>
            </w:tcBorders>
          </w:tcPr>
          <w:p>
            <w:pPr>
              <w:jc w:val="center"/>
              <w:ind w:left="1430"/>
              <w:spacing w:after="0" w:line="201" w:lineRule="exact"/>
              <w:rPr>
                <w:sz w:val="20"/>
                <w:szCs w:val="20"/>
                <w:color w:val="auto"/>
              </w:rPr>
            </w:pPr>
            <w:r>
              <w:rPr>
                <w:rFonts w:ascii="Arial" w:cs="Arial" w:eastAsia="Arial" w:hAnsi="Arial"/>
                <w:sz w:val="18"/>
                <w:szCs w:val="18"/>
                <w:color w:val="auto"/>
                <w:w w:val="92"/>
              </w:rPr>
              <w:t>(State or other jurisdiction of</w:t>
            </w:r>
          </w:p>
        </w:tc>
        <w:tc>
          <w:tcPr>
            <w:tcW w:w="1520" w:type="dxa"/>
            <w:vAlign w:val="bottom"/>
            <w:tcBorders>
              <w:top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5500" w:type="dxa"/>
            <w:vAlign w:val="bottom"/>
            <w:tcBorders>
              <w:top w:val="single" w:sz="8" w:color="auto"/>
            </w:tcBorders>
          </w:tcPr>
          <w:p>
            <w:pPr>
              <w:jc w:val="center"/>
              <w:spacing w:after="0" w:line="201" w:lineRule="exact"/>
              <w:rPr>
                <w:sz w:val="20"/>
                <w:szCs w:val="20"/>
                <w:color w:val="auto"/>
              </w:rPr>
            </w:pPr>
            <w:r>
              <w:rPr>
                <w:rFonts w:ascii="Arial" w:cs="Arial" w:eastAsia="Arial" w:hAnsi="Arial"/>
                <w:sz w:val="18"/>
                <w:szCs w:val="18"/>
                <w:color w:val="auto"/>
                <w:w w:val="93"/>
              </w:rPr>
              <w:t>(IRS Employer</w:t>
            </w:r>
          </w:p>
        </w:tc>
      </w:tr>
      <w:tr>
        <w:trPr>
          <w:trHeight w:val="230"/>
        </w:trPr>
        <w:tc>
          <w:tcPr>
            <w:tcW w:w="4000" w:type="dxa"/>
            <w:vAlign w:val="bottom"/>
          </w:tcPr>
          <w:p>
            <w:pPr>
              <w:jc w:val="center"/>
              <w:ind w:left="1430"/>
              <w:spacing w:after="0"/>
              <w:rPr>
                <w:sz w:val="20"/>
                <w:szCs w:val="20"/>
                <w:color w:val="auto"/>
              </w:rPr>
            </w:pPr>
            <w:r>
              <w:rPr>
                <w:rFonts w:ascii="Arial" w:cs="Arial" w:eastAsia="Arial" w:hAnsi="Arial"/>
                <w:sz w:val="18"/>
                <w:szCs w:val="18"/>
                <w:color w:val="auto"/>
                <w:w w:val="94"/>
              </w:rPr>
              <w:t>incorporation)</w:t>
            </w:r>
          </w:p>
        </w:tc>
        <w:tc>
          <w:tcPr>
            <w:tcW w:w="15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500" w:type="dxa"/>
            <w:vAlign w:val="bottom"/>
          </w:tcPr>
          <w:p>
            <w:pPr>
              <w:jc w:val="center"/>
              <w:spacing w:after="0"/>
              <w:rPr>
                <w:sz w:val="20"/>
                <w:szCs w:val="20"/>
                <w:color w:val="auto"/>
              </w:rPr>
            </w:pPr>
            <w:r>
              <w:rPr>
                <w:rFonts w:ascii="Arial" w:cs="Arial" w:eastAsia="Arial" w:hAnsi="Arial"/>
                <w:sz w:val="18"/>
                <w:szCs w:val="18"/>
                <w:color w:val="auto"/>
                <w:w w:val="95"/>
              </w:rPr>
              <w:t>Identification No.)</w:t>
            </w:r>
          </w:p>
        </w:tc>
      </w:tr>
    </w:tbl>
    <w:p>
      <w:pPr>
        <w:spacing w:after="0" w:line="198" w:lineRule="exact"/>
        <w:rPr>
          <w:sz w:val="24"/>
          <w:szCs w:val="24"/>
          <w:color w:val="auto"/>
        </w:rPr>
      </w:pPr>
    </w:p>
    <w:p>
      <w:pPr>
        <w:ind w:left="3520"/>
        <w:spacing w:after="0"/>
        <w:rPr>
          <w:sz w:val="20"/>
          <w:szCs w:val="20"/>
          <w:color w:val="auto"/>
        </w:rPr>
      </w:pPr>
      <w:r>
        <w:rPr>
          <w:rFonts w:ascii="Arial" w:cs="Arial" w:eastAsia="Arial" w:hAnsi="Arial"/>
          <w:sz w:val="18"/>
          <w:szCs w:val="18"/>
          <w:b w:val="1"/>
          <w:bCs w:val="1"/>
          <w:color w:val="auto"/>
        </w:rPr>
        <w:t>325 North St. Paul Street, Suite 2650, Dallas, TX 75201</w:t>
      </w:r>
    </w:p>
    <w:p>
      <w:pPr>
        <w:spacing w:after="0" w:line="27" w:lineRule="exact"/>
        <w:rPr>
          <w:sz w:val="24"/>
          <w:szCs w:val="24"/>
          <w:color w:val="auto"/>
        </w:rPr>
      </w:pPr>
    </w:p>
    <w:p>
      <w:pPr>
        <w:ind w:left="3480"/>
        <w:spacing w:after="0"/>
        <w:rPr>
          <w:sz w:val="20"/>
          <w:szCs w:val="20"/>
          <w:color w:val="auto"/>
        </w:rPr>
      </w:pPr>
      <w:r>
        <w:rPr>
          <w:rFonts w:ascii="Arial" w:cs="Arial" w:eastAsia="Arial" w:hAnsi="Arial"/>
          <w:sz w:val="18"/>
          <w:szCs w:val="18"/>
          <w:color w:val="auto"/>
        </w:rPr>
        <w:t>(Address of principal executive offices, including zip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(612) 746-1944</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Not Applicable</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11"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860" w:firstLine="8"/>
        <w:spacing w:after="0" w:line="500" w:lineRule="auto"/>
        <w:tabs>
          <w:tab w:leader="none" w:pos="3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p>
      <w:pPr>
        <w:spacing w:after="0" w:line="2" w:lineRule="exact"/>
        <w:rPr>
          <w:sz w:val="24"/>
          <w:szCs w:val="24"/>
          <w:color w:val="auto"/>
        </w:rPr>
      </w:pPr>
    </w:p>
    <w:tbl>
      <w:tblPr>
        <w:tblLayout w:type="fixed"/>
        <w:tblInd w:w="0" w:type="dxa"/>
        <w:tblCellMar>
          <w:top w:w="0" w:type="dxa"/>
          <w:left w:w="0" w:type="dxa"/>
          <w:bottom w:w="0" w:type="dxa"/>
          <w:right w:w="0" w:type="dxa"/>
        </w:tblCellMar>
      </w:tblPr>
      <w:tr>
        <w:trPr>
          <w:trHeight w:val="251"/>
        </w:trPr>
        <w:tc>
          <w:tcPr>
            <w:tcW w:w="3840" w:type="dxa"/>
            <w:vAlign w:val="bottom"/>
            <w:gridSpan w:val="2"/>
          </w:tcPr>
          <w:p>
            <w:pPr>
              <w:jc w:val="center"/>
              <w:ind w:right="220"/>
              <w:spacing w:after="0"/>
              <w:rPr>
                <w:sz w:val="20"/>
                <w:szCs w:val="20"/>
                <w:color w:val="auto"/>
              </w:rPr>
            </w:pPr>
            <w:r>
              <w:rPr>
                <w:rFonts w:ascii="Arial" w:cs="Arial" w:eastAsia="Arial" w:hAnsi="Arial"/>
                <w:sz w:val="18"/>
                <w:szCs w:val="18"/>
                <w:color w:val="auto"/>
                <w:w w:val="90"/>
              </w:rPr>
              <w:t>Title of each class</w:t>
            </w:r>
          </w:p>
        </w:tc>
        <w:tc>
          <w:tcPr>
            <w:tcW w:w="3800" w:type="dxa"/>
            <w:vAlign w:val="bottom"/>
            <w:gridSpan w:val="2"/>
          </w:tcPr>
          <w:p>
            <w:pPr>
              <w:jc w:val="center"/>
              <w:ind w:right="200"/>
              <w:spacing w:after="0"/>
              <w:rPr>
                <w:sz w:val="20"/>
                <w:szCs w:val="20"/>
                <w:color w:val="auto"/>
              </w:rPr>
            </w:pPr>
            <w:r>
              <w:rPr>
                <w:rFonts w:ascii="Arial" w:cs="Arial" w:eastAsia="Arial" w:hAnsi="Arial"/>
                <w:sz w:val="18"/>
                <w:szCs w:val="18"/>
                <w:color w:val="auto"/>
                <w:w w:val="92"/>
              </w:rPr>
              <w:t>Trading Symbol(s)</w:t>
            </w:r>
          </w:p>
        </w:tc>
        <w:tc>
          <w:tcPr>
            <w:tcW w:w="3600" w:type="dxa"/>
            <w:vAlign w:val="bottom"/>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16"/>
        </w:trPr>
        <w:tc>
          <w:tcPr>
            <w:tcW w:w="36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7"/>
              </w:rPr>
              <w:t>Common Shares</w:t>
            </w:r>
          </w:p>
        </w:tc>
        <w:tc>
          <w:tcPr>
            <w:tcW w:w="220" w:type="dxa"/>
            <w:vAlign w:val="bottom"/>
            <w:tcBorders>
              <w:top w:val="single" w:sz="8" w:color="CCEEFF"/>
            </w:tcBorders>
            <w:shd w:val="clear" w:color="auto" w:fill="CCEEFF"/>
          </w:tcPr>
          <w:p>
            <w:pPr>
              <w:spacing w:after="0"/>
              <w:rPr>
                <w:sz w:val="18"/>
                <w:szCs w:val="18"/>
                <w:color w:val="auto"/>
              </w:rPr>
            </w:pPr>
          </w:p>
        </w:tc>
        <w:tc>
          <w:tcPr>
            <w:tcW w:w="36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6"/>
              </w:rPr>
              <w:t>GWGH</w:t>
            </w:r>
          </w:p>
        </w:tc>
        <w:tc>
          <w:tcPr>
            <w:tcW w:w="200" w:type="dxa"/>
            <w:vAlign w:val="bottom"/>
            <w:tcBorders>
              <w:top w:val="single" w:sz="8" w:color="CCEEFF"/>
            </w:tcBorders>
            <w:shd w:val="clear" w:color="auto" w:fill="CCEEFF"/>
          </w:tcPr>
          <w:p>
            <w:pPr>
              <w:spacing w:after="0"/>
              <w:rPr>
                <w:sz w:val="18"/>
                <w:szCs w:val="18"/>
                <w:color w:val="auto"/>
              </w:rPr>
            </w:pPr>
          </w:p>
        </w:tc>
        <w:tc>
          <w:tcPr>
            <w:tcW w:w="36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Nasdaq Capital Markets</w:t>
            </w:r>
          </w:p>
        </w:tc>
      </w:tr>
    </w:tbl>
    <w:p>
      <w:pPr>
        <w:spacing w:after="0" w:line="202" w:lineRule="exact"/>
        <w:rPr>
          <w:sz w:val="24"/>
          <w:szCs w:val="24"/>
          <w:color w:val="auto"/>
        </w:rPr>
      </w:pPr>
    </w:p>
    <w:p>
      <w:pPr>
        <w:ind w:right="5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260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596265</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29" w:right="339" w:bottom="1440" w:gutter="0" w:footer="0" w:header="0"/>
        </w:sectPr>
      </w:pPr>
    </w:p>
    <w:bookmarkStart w:id="1" w:name="page2"/>
    <w:bookmarkEnd w:id="1"/>
    <w:p>
      <w:pPr>
        <w:spacing w:after="0"/>
        <w:tabs>
          <w:tab w:leader="none" w:pos="880" w:val="left"/>
        </w:tabs>
        <w:rPr>
          <w:sz w:val="20"/>
          <w:szCs w:val="20"/>
          <w:color w:val="auto"/>
        </w:rPr>
      </w:pPr>
      <w:r>
        <w:rPr>
          <w:rFonts w:ascii="Arial" w:cs="Arial" w:eastAsia="Arial" w:hAnsi="Arial"/>
          <w:sz w:val="18"/>
          <w:szCs w:val="18"/>
          <w:b w:val="1"/>
          <w:bCs w:val="1"/>
          <w:color w:val="auto"/>
        </w:rPr>
        <w:t>Item 5.02</w:t>
      </w:r>
      <w:r>
        <w:rPr>
          <w:sz w:val="20"/>
          <w:szCs w:val="20"/>
          <w:color w:val="auto"/>
        </w:rPr>
        <w:tab/>
      </w:r>
      <w:r>
        <w:rPr>
          <w:rFonts w:ascii="Arial" w:cs="Arial" w:eastAsia="Arial" w:hAnsi="Arial"/>
          <w:sz w:val="16"/>
          <w:szCs w:val="16"/>
          <w:b w:val="1"/>
          <w:bCs w:val="1"/>
          <w:color w:val="auto"/>
        </w:rPr>
        <w:t>Departure of Directors or Certain Officers; Appointment of Certain Officers; Compensatory Arrangements of Certain Officers</w:t>
      </w:r>
    </w:p>
    <w:p>
      <w:pPr>
        <w:spacing w:after="0" w:line="229" w:lineRule="exact"/>
        <w:rPr>
          <w:sz w:val="20"/>
          <w:szCs w:val="20"/>
          <w:color w:val="auto"/>
        </w:rPr>
      </w:pPr>
    </w:p>
    <w:p>
      <w:pPr>
        <w:ind w:right="80"/>
        <w:spacing w:after="0" w:line="255" w:lineRule="auto"/>
        <w:rPr>
          <w:sz w:val="20"/>
          <w:szCs w:val="20"/>
          <w:color w:val="auto"/>
        </w:rPr>
      </w:pPr>
      <w:r>
        <w:rPr>
          <w:rFonts w:ascii="Arial" w:cs="Arial" w:eastAsia="Arial" w:hAnsi="Arial"/>
          <w:sz w:val="18"/>
          <w:szCs w:val="18"/>
          <w:color w:val="auto"/>
        </w:rPr>
        <w:t>GWG Holdings, Inc. (the “Company”) is pleased to announce that it has taken steps to prepare for the issuance of a conditional trust banking charter (the “Charter”) to The Beneficient Company Group, L.P. (“Ben”) by the Kansas Office of the State Bank Commissioner (“OSBC”) under the recently enacted Kansas Technology-Enabled Fiduciary Financial Institutions Act (“TEFFI Act”). The Company expects that the TEFFI Act will be a significant benefit to the value of the Company’s investment in Ben, as it will provide Ben the necessary regulatory framework to achieve its long-term objective of providing liquidity and other services to holders of alternative asset through a Kansas regulated technology-enabled fiduciary financial institution (“TEFFI”) trust bank.</w:t>
      </w:r>
    </w:p>
    <w:p>
      <w:pPr>
        <w:spacing w:after="0" w:line="192" w:lineRule="exact"/>
        <w:rPr>
          <w:sz w:val="20"/>
          <w:szCs w:val="20"/>
          <w:color w:val="auto"/>
        </w:rPr>
      </w:pPr>
    </w:p>
    <w:p>
      <w:pPr>
        <w:spacing w:after="0" w:line="291" w:lineRule="auto"/>
        <w:rPr>
          <w:sz w:val="20"/>
          <w:szCs w:val="20"/>
          <w:color w:val="auto"/>
        </w:rPr>
      </w:pPr>
      <w:r>
        <w:rPr>
          <w:rFonts w:ascii="Arial" w:cs="Arial" w:eastAsia="Arial" w:hAnsi="Arial"/>
          <w:sz w:val="16"/>
          <w:szCs w:val="16"/>
          <w:color w:val="auto"/>
        </w:rPr>
        <w:t>The TEFFI Act directs the OSBC to issue the Charter to Ben on July 1, 2021, as part of the establishment of a fiduciary financial institution pilot program. Ben is in the process of creating a new subsidiary (“Ben TEFFI”) to serve as the chartered TEFFI trust bank. Ben has also agreed to fund the pilot program and assist the OSBC in promulgating rules, regulations, and standards ahead of wider adoption. The Company expects that the directors of the Ben TEFFI trust bank will expend significant efforts assisting the OSBC with the promulgation of rules, regulations, and standards as part of the pilot program. As a result, the directors of the Company who will serve on the new TEFFI trust bank Board of Directors have resigned their membership on the Company’s Board of Directors to devote their time to serving as directors of the Ben TEFFI trust bank, which the Company believes is the highest and best use of their available time and skills and will support the development of the Ben TEFFI trust bank and the successful execution of Ben’s business plan.</w:t>
      </w:r>
    </w:p>
    <w:p>
      <w:pPr>
        <w:spacing w:after="0" w:line="166"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Brad K. Heppner, Richard W. Fisher, Derek Fletcher, Thomas O. Hicks, Dennis P. Lockhart, Bruce W. Schnitzer, and Sandra Lawrence are expected to serve on the new board of the Ben TEFFI trust bank. Accordingly, on June 11, 2021, Messrs. Heppner, Hicks, Lockhart and Schnitzer resigned from the Board of Directors and Board committees of the Company, which resignations became effective on June 14, 2021, to join the board of directors of the Ben TEFFI trust bank.</w:t>
      </w:r>
    </w:p>
    <w:p>
      <w:pPr>
        <w:spacing w:after="0" w:line="187" w:lineRule="exact"/>
        <w:rPr>
          <w:sz w:val="20"/>
          <w:szCs w:val="20"/>
          <w:color w:val="auto"/>
        </w:rPr>
      </w:pPr>
    </w:p>
    <w:p>
      <w:pPr>
        <w:ind w:right="280"/>
        <w:spacing w:after="0" w:line="342" w:lineRule="auto"/>
        <w:rPr>
          <w:sz w:val="20"/>
          <w:szCs w:val="20"/>
          <w:color w:val="auto"/>
        </w:rPr>
      </w:pPr>
      <w:r>
        <w:rPr>
          <w:rFonts w:ascii="Arial" w:cs="Arial" w:eastAsia="Arial" w:hAnsi="Arial"/>
          <w:sz w:val="16"/>
          <w:szCs w:val="16"/>
          <w:color w:val="auto"/>
        </w:rPr>
        <w:t>In addition, the Board of Directors has appointed Murray T. Holland, the Company’s President and Chief Executive Officer, and Timothy L. Evans, the Company’s Chief Financial Officer, as directors of the Company effective as of June 14, 2021, and appointed Mr. Holland as Chairman.</w:t>
      </w:r>
    </w:p>
    <w:p>
      <w:pPr>
        <w:spacing w:after="0" w:line="124"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The Board also appointed David H. de Weese, a current member of the Company’s Board of Directors, as a member of the Company’s Audit Committee after determining that Mr. de Weese was independent under relevant regulatory and listing requirements.</w:t>
      </w:r>
    </w:p>
    <w:p>
      <w:pPr>
        <w:spacing w:after="0" w:line="170" w:lineRule="exact"/>
        <w:rPr>
          <w:sz w:val="20"/>
          <w:szCs w:val="20"/>
          <w:color w:val="auto"/>
        </w:rPr>
      </w:pPr>
    </w:p>
    <w:p>
      <w:pPr>
        <w:ind w:right="20"/>
        <w:spacing w:after="0" w:line="263" w:lineRule="auto"/>
        <w:rPr>
          <w:sz w:val="20"/>
          <w:szCs w:val="20"/>
          <w:color w:val="auto"/>
        </w:rPr>
      </w:pPr>
      <w:r>
        <w:rPr>
          <w:rFonts w:ascii="Arial" w:cs="Arial" w:eastAsia="Arial" w:hAnsi="Arial"/>
          <w:sz w:val="18"/>
          <w:szCs w:val="18"/>
          <w:color w:val="auto"/>
        </w:rPr>
        <w:t>The resignations of Messrs. Heppner, Hicks, Lockhart and Schnitzer were not due to any disagreement with the Company known to an executive officer of the Company on any matter relating to the operations, policies or practices of the Company, and there were no arrangements or understandings regarding the appointments of Messrs. Holland and Evans to the Board of Directors.</w:t>
      </w:r>
    </w:p>
    <w:p>
      <w:pPr>
        <w:spacing w:after="0" w:line="400"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20" w:top="904" w:right="39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300"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540" w:type="dxa"/>
            <w:vAlign w:val="bottom"/>
          </w:tcPr>
          <w:p>
            <w:pPr>
              <w:spacing w:after="0"/>
              <w:rPr>
                <w:sz w:val="20"/>
                <w:szCs w:val="20"/>
                <w:color w:val="auto"/>
              </w:rPr>
            </w:pPr>
          </w:p>
        </w:tc>
        <w:tc>
          <w:tcPr>
            <w:tcW w:w="7700" w:type="dxa"/>
            <w:vAlign w:val="bottom"/>
            <w:gridSpan w:val="2"/>
          </w:tcPr>
          <w:p>
            <w:pPr>
              <w:ind w:left="2200"/>
              <w:spacing w:after="0"/>
              <w:rPr>
                <w:sz w:val="20"/>
                <w:szCs w:val="20"/>
                <w:color w:val="auto"/>
              </w:rPr>
            </w:pPr>
            <w:r>
              <w:rPr>
                <w:rFonts w:ascii="Arial" w:cs="Arial" w:eastAsia="Arial" w:hAnsi="Arial"/>
                <w:sz w:val="18"/>
                <w:szCs w:val="18"/>
                <w:b w:val="1"/>
                <w:bCs w:val="1"/>
                <w:color w:val="auto"/>
              </w:rPr>
              <w:t>GWG HOLDINGS, INC.</w:t>
            </w:r>
          </w:p>
        </w:tc>
      </w:tr>
      <w:tr>
        <w:trPr>
          <w:trHeight w:val="453"/>
        </w:trPr>
        <w:tc>
          <w:tcPr>
            <w:tcW w:w="3540" w:type="dxa"/>
            <w:vAlign w:val="bottom"/>
          </w:tcPr>
          <w:p>
            <w:pPr>
              <w:spacing w:after="0"/>
              <w:rPr>
                <w:sz w:val="20"/>
                <w:szCs w:val="20"/>
                <w:color w:val="auto"/>
              </w:rPr>
            </w:pPr>
            <w:r>
              <w:rPr>
                <w:rFonts w:ascii="Arial" w:cs="Arial" w:eastAsia="Arial" w:hAnsi="Arial"/>
                <w:sz w:val="18"/>
                <w:szCs w:val="18"/>
                <w:color w:val="auto"/>
              </w:rPr>
              <w:t>Date: June 17, 2021</w:t>
            </w:r>
          </w:p>
        </w:tc>
        <w:tc>
          <w:tcPr>
            <w:tcW w:w="2880" w:type="dxa"/>
            <w:vAlign w:val="bottom"/>
          </w:tcPr>
          <w:p>
            <w:pPr>
              <w:ind w:left="2200"/>
              <w:spacing w:after="0"/>
              <w:rPr>
                <w:sz w:val="20"/>
                <w:szCs w:val="20"/>
                <w:color w:val="auto"/>
              </w:rPr>
            </w:pPr>
            <w:r>
              <w:rPr>
                <w:rFonts w:ascii="Arial" w:cs="Arial" w:eastAsia="Arial" w:hAnsi="Arial"/>
                <w:sz w:val="18"/>
                <w:szCs w:val="18"/>
                <w:color w:val="auto"/>
              </w:rPr>
              <w:t>By:</w:t>
            </w:r>
          </w:p>
        </w:tc>
        <w:tc>
          <w:tcPr>
            <w:tcW w:w="48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Murray Holland</w:t>
            </w:r>
          </w:p>
        </w:tc>
      </w:tr>
      <w:tr>
        <w:trPr>
          <w:trHeight w:val="202"/>
        </w:trPr>
        <w:tc>
          <w:tcPr>
            <w:tcW w:w="3540" w:type="dxa"/>
            <w:vAlign w:val="bottom"/>
          </w:tcPr>
          <w:p>
            <w:pPr>
              <w:spacing w:after="0"/>
              <w:rPr>
                <w:sz w:val="17"/>
                <w:szCs w:val="17"/>
                <w:color w:val="auto"/>
              </w:rPr>
            </w:pPr>
          </w:p>
        </w:tc>
        <w:tc>
          <w:tcPr>
            <w:tcW w:w="2880" w:type="dxa"/>
            <w:vAlign w:val="bottom"/>
          </w:tcPr>
          <w:p>
            <w:pPr>
              <w:ind w:left="2200"/>
              <w:spacing w:after="0" w:line="201" w:lineRule="exact"/>
              <w:rPr>
                <w:sz w:val="20"/>
                <w:szCs w:val="20"/>
                <w:color w:val="auto"/>
              </w:rPr>
            </w:pPr>
            <w:r>
              <w:rPr>
                <w:rFonts w:ascii="Arial" w:cs="Arial" w:eastAsia="Arial" w:hAnsi="Arial"/>
                <w:sz w:val="18"/>
                <w:szCs w:val="18"/>
                <w:color w:val="auto"/>
              </w:rPr>
              <w:t>Name:</w:t>
            </w:r>
          </w:p>
        </w:tc>
        <w:tc>
          <w:tcPr>
            <w:tcW w:w="4820" w:type="dxa"/>
            <w:vAlign w:val="bottom"/>
          </w:tcPr>
          <w:p>
            <w:pPr>
              <w:spacing w:after="0" w:line="201" w:lineRule="exact"/>
              <w:rPr>
                <w:sz w:val="20"/>
                <w:szCs w:val="20"/>
                <w:color w:val="auto"/>
              </w:rPr>
            </w:pPr>
            <w:r>
              <w:rPr>
                <w:rFonts w:ascii="Arial" w:cs="Arial" w:eastAsia="Arial" w:hAnsi="Arial"/>
                <w:sz w:val="18"/>
                <w:szCs w:val="18"/>
                <w:color w:val="auto"/>
              </w:rPr>
              <w:t>Murray Holland</w:t>
            </w:r>
          </w:p>
        </w:tc>
      </w:tr>
      <w:tr>
        <w:trPr>
          <w:trHeight w:val="230"/>
        </w:trPr>
        <w:tc>
          <w:tcPr>
            <w:tcW w:w="3540" w:type="dxa"/>
            <w:vAlign w:val="bottom"/>
          </w:tcPr>
          <w:p>
            <w:pPr>
              <w:spacing w:after="0"/>
              <w:rPr>
                <w:sz w:val="20"/>
                <w:szCs w:val="20"/>
                <w:color w:val="auto"/>
              </w:rPr>
            </w:pPr>
          </w:p>
        </w:tc>
        <w:tc>
          <w:tcPr>
            <w:tcW w:w="2880" w:type="dxa"/>
            <w:vAlign w:val="bottom"/>
          </w:tcPr>
          <w:p>
            <w:pPr>
              <w:ind w:left="2200"/>
              <w:spacing w:after="0"/>
              <w:rPr>
                <w:sz w:val="20"/>
                <w:szCs w:val="20"/>
                <w:color w:val="auto"/>
              </w:rPr>
            </w:pPr>
            <w:r>
              <w:rPr>
                <w:rFonts w:ascii="Arial" w:cs="Arial" w:eastAsia="Arial" w:hAnsi="Arial"/>
                <w:sz w:val="18"/>
                <w:szCs w:val="18"/>
                <w:color w:val="auto"/>
              </w:rPr>
              <w:t>Title:</w:t>
            </w:r>
          </w:p>
        </w:tc>
        <w:tc>
          <w:tcPr>
            <w:tcW w:w="4820" w:type="dxa"/>
            <w:vAlign w:val="bottom"/>
          </w:tcPr>
          <w:p>
            <w:pPr>
              <w:spacing w:after="0"/>
              <w:rPr>
                <w:sz w:val="20"/>
                <w:szCs w:val="20"/>
                <w:color w:val="auto"/>
              </w:rPr>
            </w:pPr>
            <w:r>
              <w:rPr>
                <w:rFonts w:ascii="Arial" w:cs="Arial" w:eastAsia="Arial" w:hAnsi="Arial"/>
                <w:sz w:val="18"/>
                <w:szCs w:val="18"/>
                <w:color w:val="auto"/>
              </w:rPr>
              <w:t>Chief Executive Officer</w:t>
            </w:r>
          </w:p>
        </w:tc>
      </w:tr>
      <w:tr>
        <w:trPr>
          <w:trHeight w:val="655"/>
        </w:trPr>
        <w:tc>
          <w:tcPr>
            <w:tcW w:w="3540" w:type="dxa"/>
            <w:vAlign w:val="bottom"/>
            <w:tcBorders>
              <w:bottom w:val="single" w:sz="8" w:color="auto"/>
            </w:tcBorders>
          </w:tcPr>
          <w:p>
            <w:pPr>
              <w:spacing w:after="0"/>
              <w:rPr>
                <w:sz w:val="24"/>
                <w:szCs w:val="24"/>
                <w:color w:val="auto"/>
              </w:rPr>
            </w:pPr>
          </w:p>
        </w:tc>
        <w:tc>
          <w:tcPr>
            <w:tcW w:w="2880" w:type="dxa"/>
            <w:vAlign w:val="bottom"/>
            <w:tcBorders>
              <w:bottom w:val="single" w:sz="8" w:color="auto"/>
            </w:tcBorders>
          </w:tcPr>
          <w:p>
            <w:pPr>
              <w:ind w:left="2040"/>
              <w:spacing w:after="0"/>
              <w:rPr>
                <w:sz w:val="20"/>
                <w:szCs w:val="20"/>
                <w:color w:val="auto"/>
              </w:rPr>
            </w:pPr>
            <w:r>
              <w:rPr>
                <w:rFonts w:ascii="Arial" w:cs="Arial" w:eastAsia="Arial" w:hAnsi="Arial"/>
                <w:sz w:val="18"/>
                <w:szCs w:val="18"/>
                <w:color w:val="auto"/>
              </w:rPr>
              <w:t>2</w:t>
            </w:r>
          </w:p>
        </w:tc>
        <w:tc>
          <w:tcPr>
            <w:tcW w:w="482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240"/>
      </w:cols>
      <w:pgMar w:left="320" w:top="904"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2021-06-17T15:43:27Z</dcterms:created>
  <dcterms:modified xsi:type="dcterms:W3CDTF">2021-06-17T15:43:27Z</dcterms:modified>
</cp:coreProperties>
</file>