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157480</wp:posOffset>
            </wp:positionV>
            <wp:extent cx="7132320" cy="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540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191770</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t>UNITED STATES</w:t>
      </w:r>
    </w:p>
    <w:p>
      <w:pPr>
        <w:spacing w:after="0" w:line="23"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SECURITIES AND EXCHANGE COMMISSION</w:t>
      </w:r>
    </w:p>
    <w:p>
      <w:pPr>
        <w:spacing w:after="0" w:line="9"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Washington, DC 20549</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FORM 8-K</w:t>
      </w:r>
    </w:p>
    <w:p>
      <w:pPr>
        <w:spacing w:after="0" w:line="22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CURRENT REPORT</w:t>
      </w:r>
    </w:p>
    <w:p>
      <w:pPr>
        <w:spacing w:after="0" w:line="23"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Pursuant to Section 13 or 15(d) of</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the Securities Exchange Act of 1934</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 xml:space="preserve">Date of Report (date of earliest event reported): </w:t>
      </w:r>
      <w:r>
        <w:rPr>
          <w:rFonts w:ascii="Arial" w:cs="Arial" w:eastAsia="Arial" w:hAnsi="Arial"/>
          <w:sz w:val="18"/>
          <w:szCs w:val="18"/>
          <w:b w:val="1"/>
          <w:bCs w:val="1"/>
          <w:color w:val="auto"/>
        </w:rPr>
        <w:t>June 15, 2020</w:t>
      </w: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GWG Holdings, Inc.</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its charter)</w:t>
      </w:r>
    </w:p>
    <w:p>
      <w:pPr>
        <w:spacing w:after="0" w:line="207"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4000" w:type="dxa"/>
            <w:vAlign w:val="bottom"/>
          </w:tcPr>
          <w:p>
            <w:pPr>
              <w:spacing w:after="0"/>
              <w:rPr>
                <w:sz w:val="20"/>
                <w:szCs w:val="20"/>
                <w:color w:val="auto"/>
              </w:rPr>
            </w:pPr>
          </w:p>
        </w:tc>
        <w:tc>
          <w:tcPr>
            <w:tcW w:w="7240" w:type="dxa"/>
            <w:vAlign w:val="bottom"/>
            <w:gridSpan w:val="3"/>
          </w:tcPr>
          <w:p>
            <w:pPr>
              <w:ind w:left="200"/>
              <w:spacing w:after="0"/>
              <w:rPr>
                <w:sz w:val="20"/>
                <w:szCs w:val="20"/>
                <w:color w:val="auto"/>
              </w:rPr>
            </w:pPr>
            <w:r>
              <w:rPr>
                <w:rFonts w:ascii="Arial" w:cs="Arial" w:eastAsia="Arial" w:hAnsi="Arial"/>
                <w:sz w:val="18"/>
                <w:szCs w:val="18"/>
                <w:color w:val="auto"/>
              </w:rPr>
              <w:t xml:space="preserve">Commission File Number:  </w:t>
            </w:r>
            <w:r>
              <w:rPr>
                <w:rFonts w:ascii="Arial" w:cs="Arial" w:eastAsia="Arial" w:hAnsi="Arial"/>
                <w:sz w:val="18"/>
                <w:szCs w:val="18"/>
                <w:b w:val="1"/>
                <w:bCs w:val="1"/>
                <w:color w:val="auto"/>
              </w:rPr>
              <w:t>001-36615</w:t>
            </w:r>
          </w:p>
        </w:tc>
      </w:tr>
      <w:tr>
        <w:trPr>
          <w:trHeight w:val="453"/>
        </w:trPr>
        <w:tc>
          <w:tcPr>
            <w:tcW w:w="4000" w:type="dxa"/>
            <w:vAlign w:val="bottom"/>
          </w:tcPr>
          <w:p>
            <w:pPr>
              <w:jc w:val="center"/>
              <w:ind w:left="1430"/>
              <w:spacing w:after="0"/>
              <w:rPr>
                <w:sz w:val="20"/>
                <w:szCs w:val="20"/>
                <w:color w:val="auto"/>
              </w:rPr>
            </w:pPr>
            <w:r>
              <w:rPr>
                <w:rFonts w:ascii="Arial" w:cs="Arial" w:eastAsia="Arial" w:hAnsi="Arial"/>
                <w:sz w:val="18"/>
                <w:szCs w:val="18"/>
                <w:b w:val="1"/>
                <w:bCs w:val="1"/>
                <w:color w:val="auto"/>
                <w:w w:val="91"/>
              </w:rPr>
              <w:t>Delaware</w:t>
            </w:r>
          </w:p>
        </w:tc>
        <w:tc>
          <w:tcPr>
            <w:tcW w:w="7240" w:type="dxa"/>
            <w:vAlign w:val="bottom"/>
            <w:gridSpan w:val="3"/>
          </w:tcPr>
          <w:p>
            <w:pPr>
              <w:jc w:val="center"/>
              <w:ind w:left="1650"/>
              <w:spacing w:after="0"/>
              <w:rPr>
                <w:sz w:val="20"/>
                <w:szCs w:val="20"/>
                <w:color w:val="auto"/>
              </w:rPr>
            </w:pPr>
            <w:r>
              <w:rPr>
                <w:rFonts w:ascii="Arial" w:cs="Arial" w:eastAsia="Arial" w:hAnsi="Arial"/>
                <w:sz w:val="18"/>
                <w:szCs w:val="18"/>
                <w:b w:val="1"/>
                <w:bCs w:val="1"/>
                <w:color w:val="auto"/>
                <w:w w:val="89"/>
              </w:rPr>
              <w:t>26-2222607</w:t>
            </w:r>
          </w:p>
        </w:tc>
      </w:tr>
      <w:tr>
        <w:trPr>
          <w:trHeight w:val="202"/>
        </w:trPr>
        <w:tc>
          <w:tcPr>
            <w:tcW w:w="4000" w:type="dxa"/>
            <w:vAlign w:val="bottom"/>
            <w:tcBorders>
              <w:top w:val="single" w:sz="8" w:color="auto"/>
            </w:tcBorders>
          </w:tcPr>
          <w:p>
            <w:pPr>
              <w:jc w:val="center"/>
              <w:ind w:left="1430"/>
              <w:spacing w:after="0" w:line="201" w:lineRule="exact"/>
              <w:rPr>
                <w:sz w:val="20"/>
                <w:szCs w:val="20"/>
                <w:color w:val="auto"/>
              </w:rPr>
            </w:pPr>
            <w:r>
              <w:rPr>
                <w:rFonts w:ascii="Arial" w:cs="Arial" w:eastAsia="Arial" w:hAnsi="Arial"/>
                <w:sz w:val="18"/>
                <w:szCs w:val="18"/>
                <w:color w:val="auto"/>
                <w:w w:val="92"/>
              </w:rPr>
              <w:t>(State or other jurisdiction of</w:t>
            </w:r>
          </w:p>
        </w:tc>
        <w:tc>
          <w:tcPr>
            <w:tcW w:w="1520" w:type="dxa"/>
            <w:vAlign w:val="bottom"/>
            <w:tcBorders>
              <w:top w:val="single" w:sz="8" w:color="auto"/>
            </w:tcBorders>
          </w:tcPr>
          <w:p>
            <w:pPr>
              <w:spacing w:after="0"/>
              <w:rPr>
                <w:sz w:val="17"/>
                <w:szCs w:val="17"/>
                <w:color w:val="auto"/>
              </w:rPr>
            </w:pPr>
          </w:p>
        </w:tc>
        <w:tc>
          <w:tcPr>
            <w:tcW w:w="220" w:type="dxa"/>
            <w:vAlign w:val="bottom"/>
          </w:tcPr>
          <w:p>
            <w:pPr>
              <w:spacing w:after="0"/>
              <w:rPr>
                <w:sz w:val="17"/>
                <w:szCs w:val="17"/>
                <w:color w:val="auto"/>
              </w:rPr>
            </w:pPr>
          </w:p>
        </w:tc>
        <w:tc>
          <w:tcPr>
            <w:tcW w:w="5500" w:type="dxa"/>
            <w:vAlign w:val="bottom"/>
            <w:tcBorders>
              <w:top w:val="single" w:sz="8" w:color="auto"/>
            </w:tcBorders>
          </w:tcPr>
          <w:p>
            <w:pPr>
              <w:jc w:val="center"/>
              <w:spacing w:after="0" w:line="201" w:lineRule="exact"/>
              <w:rPr>
                <w:sz w:val="20"/>
                <w:szCs w:val="20"/>
                <w:color w:val="auto"/>
              </w:rPr>
            </w:pPr>
            <w:r>
              <w:rPr>
                <w:rFonts w:ascii="Arial" w:cs="Arial" w:eastAsia="Arial" w:hAnsi="Arial"/>
                <w:sz w:val="18"/>
                <w:szCs w:val="18"/>
                <w:color w:val="auto"/>
                <w:w w:val="93"/>
              </w:rPr>
              <w:t>(IRS Employer</w:t>
            </w:r>
          </w:p>
        </w:tc>
      </w:tr>
      <w:tr>
        <w:trPr>
          <w:trHeight w:val="230"/>
        </w:trPr>
        <w:tc>
          <w:tcPr>
            <w:tcW w:w="4000" w:type="dxa"/>
            <w:vAlign w:val="bottom"/>
          </w:tcPr>
          <w:p>
            <w:pPr>
              <w:jc w:val="center"/>
              <w:ind w:left="1430"/>
              <w:spacing w:after="0"/>
              <w:rPr>
                <w:sz w:val="20"/>
                <w:szCs w:val="20"/>
                <w:color w:val="auto"/>
              </w:rPr>
            </w:pPr>
            <w:r>
              <w:rPr>
                <w:rFonts w:ascii="Arial" w:cs="Arial" w:eastAsia="Arial" w:hAnsi="Arial"/>
                <w:sz w:val="18"/>
                <w:szCs w:val="18"/>
                <w:color w:val="auto"/>
                <w:w w:val="94"/>
              </w:rPr>
              <w:t>incorporation)</w:t>
            </w:r>
          </w:p>
        </w:tc>
        <w:tc>
          <w:tcPr>
            <w:tcW w:w="15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500" w:type="dxa"/>
            <w:vAlign w:val="bottom"/>
          </w:tcPr>
          <w:p>
            <w:pPr>
              <w:jc w:val="center"/>
              <w:spacing w:after="0"/>
              <w:rPr>
                <w:sz w:val="20"/>
                <w:szCs w:val="20"/>
                <w:color w:val="auto"/>
              </w:rPr>
            </w:pPr>
            <w:r>
              <w:rPr>
                <w:rFonts w:ascii="Arial" w:cs="Arial" w:eastAsia="Arial" w:hAnsi="Arial"/>
                <w:sz w:val="18"/>
                <w:szCs w:val="18"/>
                <w:color w:val="auto"/>
                <w:w w:val="95"/>
              </w:rPr>
              <w:t>Identification No.)</w:t>
            </w:r>
          </w:p>
        </w:tc>
      </w:tr>
    </w:tbl>
    <w:p>
      <w:pPr>
        <w:spacing w:after="0" w:line="198" w:lineRule="exact"/>
        <w:rPr>
          <w:sz w:val="24"/>
          <w:szCs w:val="24"/>
          <w:color w:val="auto"/>
        </w:rPr>
      </w:pPr>
    </w:p>
    <w:p>
      <w:pPr>
        <w:ind w:left="3520"/>
        <w:spacing w:after="0"/>
        <w:rPr>
          <w:sz w:val="20"/>
          <w:szCs w:val="20"/>
          <w:color w:val="auto"/>
        </w:rPr>
      </w:pPr>
      <w:r>
        <w:rPr>
          <w:rFonts w:ascii="Arial" w:cs="Arial" w:eastAsia="Arial" w:hAnsi="Arial"/>
          <w:sz w:val="18"/>
          <w:szCs w:val="18"/>
          <w:b w:val="1"/>
          <w:bCs w:val="1"/>
          <w:color w:val="auto"/>
        </w:rPr>
        <w:t>325 North St. Paul Street, Suite 2650, Dallas, TX 75201</w:t>
      </w:r>
    </w:p>
    <w:p>
      <w:pPr>
        <w:spacing w:after="0" w:line="27" w:lineRule="exact"/>
        <w:rPr>
          <w:sz w:val="24"/>
          <w:szCs w:val="24"/>
          <w:color w:val="auto"/>
        </w:rPr>
      </w:pPr>
    </w:p>
    <w:p>
      <w:pPr>
        <w:ind w:left="3480"/>
        <w:spacing w:after="0"/>
        <w:rPr>
          <w:sz w:val="20"/>
          <w:szCs w:val="20"/>
          <w:color w:val="auto"/>
        </w:rPr>
      </w:pPr>
      <w:r>
        <w:rPr>
          <w:rFonts w:ascii="Arial" w:cs="Arial" w:eastAsia="Arial" w:hAnsi="Arial"/>
          <w:sz w:val="18"/>
          <w:szCs w:val="18"/>
          <w:color w:val="auto"/>
        </w:rPr>
        <w:t>(Address of principal executive offices, including zip code)</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(612) 746-1944</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(Registrant’s telephone number, including area code)</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Not Applicable</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11"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70" w:lineRule="exact"/>
        <w:rPr>
          <w:sz w:val="24"/>
          <w:szCs w:val="24"/>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00" w:lineRule="exact"/>
        <w:rPr>
          <w:sz w:val="24"/>
          <w:szCs w:val="24"/>
          <w:color w:val="auto"/>
        </w:rPr>
      </w:pPr>
    </w:p>
    <w:p>
      <w:pPr>
        <w:spacing w:after="0" w:line="241" w:lineRule="exact"/>
        <w:rPr>
          <w:sz w:val="24"/>
          <w:szCs w:val="24"/>
          <w:color w:val="auto"/>
        </w:rPr>
      </w:pPr>
    </w:p>
    <w:tbl>
      <w:tblPr>
        <w:tblLayout w:type="fixed"/>
        <w:tblInd w:w="0" w:type="dxa"/>
        <w:tblCellMar>
          <w:top w:w="0" w:type="dxa"/>
          <w:left w:w="0" w:type="dxa"/>
          <w:bottom w:w="0" w:type="dxa"/>
          <w:right w:w="0" w:type="dxa"/>
        </w:tblCellMar>
      </w:tblPr>
      <w:tr>
        <w:trPr>
          <w:trHeight w:val="230"/>
        </w:trPr>
        <w:tc>
          <w:tcPr>
            <w:tcW w:w="4560" w:type="dxa"/>
            <w:vAlign w:val="bottom"/>
            <w:gridSpan w:val="3"/>
          </w:tcPr>
          <w:p>
            <w:pPr>
              <w:spacing w:after="0"/>
              <w:rPr>
                <w:sz w:val="20"/>
                <w:szCs w:val="20"/>
                <w:color w:val="auto"/>
              </w:rPr>
            </w:pPr>
            <w:r>
              <w:rPr>
                <w:rFonts w:ascii="Arial" w:cs="Arial" w:eastAsia="Arial" w:hAnsi="Arial"/>
                <w:sz w:val="18"/>
                <w:szCs w:val="18"/>
                <w:color w:val="auto"/>
                <w:w w:val="99"/>
              </w:rPr>
              <w:t>Securities registered pursuant to Section 12(b) of the Act:</w:t>
            </w:r>
          </w:p>
        </w:tc>
        <w:tc>
          <w:tcPr>
            <w:tcW w:w="28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3600" w:type="dxa"/>
            <w:vAlign w:val="bottom"/>
          </w:tcPr>
          <w:p>
            <w:pPr>
              <w:spacing w:after="0"/>
              <w:rPr>
                <w:sz w:val="20"/>
                <w:szCs w:val="20"/>
                <w:color w:val="auto"/>
              </w:rPr>
            </w:pPr>
          </w:p>
        </w:tc>
      </w:tr>
      <w:tr>
        <w:trPr>
          <w:trHeight w:val="466"/>
        </w:trPr>
        <w:tc>
          <w:tcPr>
            <w:tcW w:w="4560" w:type="dxa"/>
            <w:vAlign w:val="bottom"/>
            <w:gridSpan w:val="3"/>
          </w:tcPr>
          <w:p>
            <w:pPr>
              <w:jc w:val="center"/>
              <w:ind w:right="940"/>
              <w:spacing w:after="0"/>
              <w:rPr>
                <w:sz w:val="20"/>
                <w:szCs w:val="20"/>
                <w:color w:val="auto"/>
              </w:rPr>
            </w:pPr>
            <w:r>
              <w:rPr>
                <w:rFonts w:ascii="Arial" w:cs="Arial" w:eastAsia="Arial" w:hAnsi="Arial"/>
                <w:sz w:val="18"/>
                <w:szCs w:val="18"/>
                <w:color w:val="auto"/>
                <w:w w:val="90"/>
              </w:rPr>
              <w:t>Title of each class</w:t>
            </w:r>
          </w:p>
        </w:tc>
        <w:tc>
          <w:tcPr>
            <w:tcW w:w="3080" w:type="dxa"/>
            <w:vAlign w:val="bottom"/>
            <w:gridSpan w:val="2"/>
          </w:tcPr>
          <w:p>
            <w:pPr>
              <w:jc w:val="center"/>
              <w:ind w:right="920"/>
              <w:spacing w:after="0"/>
              <w:rPr>
                <w:sz w:val="20"/>
                <w:szCs w:val="20"/>
                <w:color w:val="auto"/>
              </w:rPr>
            </w:pPr>
            <w:r>
              <w:rPr>
                <w:rFonts w:ascii="Arial" w:cs="Arial" w:eastAsia="Arial" w:hAnsi="Arial"/>
                <w:sz w:val="18"/>
                <w:szCs w:val="18"/>
                <w:color w:val="auto"/>
                <w:w w:val="92"/>
              </w:rPr>
              <w:t>Trading Symbol(s)</w:t>
            </w:r>
          </w:p>
        </w:tc>
        <w:tc>
          <w:tcPr>
            <w:tcW w:w="3600" w:type="dxa"/>
            <w:vAlign w:val="bottom"/>
          </w:tcPr>
          <w:p>
            <w:pPr>
              <w:jc w:val="center"/>
              <w:spacing w:after="0"/>
              <w:rPr>
                <w:sz w:val="20"/>
                <w:szCs w:val="20"/>
                <w:color w:val="auto"/>
              </w:rPr>
            </w:pPr>
            <w:r>
              <w:rPr>
                <w:rFonts w:ascii="Arial" w:cs="Arial" w:eastAsia="Arial" w:hAnsi="Arial"/>
                <w:sz w:val="18"/>
                <w:szCs w:val="18"/>
                <w:color w:val="auto"/>
                <w:w w:val="89"/>
              </w:rPr>
              <w:t>Name of each exchange on which registered</w:t>
            </w:r>
          </w:p>
        </w:tc>
      </w:tr>
      <w:tr>
        <w:trPr>
          <w:trHeight w:val="216"/>
        </w:trPr>
        <w:tc>
          <w:tcPr>
            <w:tcW w:w="362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7"/>
              </w:rPr>
              <w:t>Common Shares</w:t>
            </w:r>
          </w:p>
        </w:tc>
        <w:tc>
          <w:tcPr>
            <w:tcW w:w="220" w:type="dxa"/>
            <w:vAlign w:val="bottom"/>
            <w:tcBorders>
              <w:top w:val="single" w:sz="8" w:color="CCEEFF"/>
            </w:tcBorders>
            <w:shd w:val="clear" w:color="auto" w:fill="CCEEFF"/>
          </w:tcPr>
          <w:p>
            <w:pPr>
              <w:spacing w:after="0"/>
              <w:rPr>
                <w:sz w:val="18"/>
                <w:szCs w:val="18"/>
                <w:color w:val="auto"/>
              </w:rPr>
            </w:pPr>
          </w:p>
        </w:tc>
        <w:tc>
          <w:tcPr>
            <w:tcW w:w="720" w:type="dxa"/>
            <w:vAlign w:val="bottom"/>
            <w:tcBorders>
              <w:top w:val="single" w:sz="8" w:color="auto"/>
            </w:tcBorders>
            <w:shd w:val="clear" w:color="auto" w:fill="CCEEFF"/>
          </w:tcPr>
          <w:p>
            <w:pPr>
              <w:spacing w:after="0"/>
              <w:rPr>
                <w:sz w:val="18"/>
                <w:szCs w:val="18"/>
                <w:color w:val="auto"/>
              </w:rPr>
            </w:pPr>
          </w:p>
        </w:tc>
        <w:tc>
          <w:tcPr>
            <w:tcW w:w="2880" w:type="dxa"/>
            <w:vAlign w:val="bottom"/>
            <w:tcBorders>
              <w:top w:val="single" w:sz="8" w:color="auto"/>
            </w:tcBorders>
            <w:shd w:val="clear" w:color="auto" w:fill="CCEEFF"/>
          </w:tcPr>
          <w:p>
            <w:pPr>
              <w:jc w:val="center"/>
              <w:ind w:right="630"/>
              <w:spacing w:after="0"/>
              <w:rPr>
                <w:sz w:val="20"/>
                <w:szCs w:val="20"/>
                <w:color w:val="auto"/>
              </w:rPr>
            </w:pPr>
            <w:r>
              <w:rPr>
                <w:rFonts w:ascii="Arial" w:cs="Arial" w:eastAsia="Arial" w:hAnsi="Arial"/>
                <w:sz w:val="18"/>
                <w:szCs w:val="18"/>
                <w:color w:val="auto"/>
                <w:w w:val="96"/>
              </w:rPr>
              <w:t>GWGH</w:t>
            </w:r>
          </w:p>
        </w:tc>
        <w:tc>
          <w:tcPr>
            <w:tcW w:w="200" w:type="dxa"/>
            <w:vAlign w:val="bottom"/>
            <w:tcBorders>
              <w:top w:val="single" w:sz="8" w:color="CCEEFF"/>
            </w:tcBorders>
            <w:shd w:val="clear" w:color="auto" w:fill="CCEEFF"/>
          </w:tcPr>
          <w:p>
            <w:pPr>
              <w:spacing w:after="0"/>
              <w:rPr>
                <w:sz w:val="18"/>
                <w:szCs w:val="18"/>
                <w:color w:val="auto"/>
              </w:rPr>
            </w:pPr>
          </w:p>
        </w:tc>
        <w:tc>
          <w:tcPr>
            <w:tcW w:w="360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0"/>
              </w:rPr>
              <w:t>Nasdaq Capital Markets</w:t>
            </w:r>
          </w:p>
        </w:tc>
      </w:tr>
    </w:tbl>
    <w:p>
      <w:pPr>
        <w:spacing w:after="0" w:line="202" w:lineRule="exact"/>
        <w:rPr>
          <w:sz w:val="24"/>
          <w:szCs w:val="24"/>
          <w:color w:val="auto"/>
        </w:rPr>
      </w:pPr>
    </w:p>
    <w:p>
      <w:pPr>
        <w:jc w:val="both"/>
        <w:ind w:right="2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8"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jc w:val="both"/>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125095</wp:posOffset>
            </wp:positionV>
            <wp:extent cx="71323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142240</wp:posOffset>
            </wp:positionV>
            <wp:extent cx="7132320" cy="254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2540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596265</wp:posOffset>
            </wp:positionV>
            <wp:extent cx="713232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17" w:right="339" w:bottom="1440" w:gutter="0" w:footer="0" w:header="0"/>
        </w:sectPr>
      </w:pPr>
    </w:p>
    <w:bookmarkStart w:id="1" w:name="page2"/>
    <w:bookmarkEnd w:id="1"/>
    <w:p>
      <w:pPr>
        <w:jc w:val="both"/>
        <w:ind w:left="900" w:hanging="890"/>
        <w:spacing w:after="0" w:line="282" w:lineRule="auto"/>
        <w:tabs>
          <w:tab w:leader="none" w:pos="880" w:val="left"/>
        </w:tabs>
        <w:rPr>
          <w:sz w:val="20"/>
          <w:szCs w:val="20"/>
          <w:color w:val="auto"/>
        </w:rPr>
      </w:pPr>
      <w:r>
        <w:rPr>
          <w:rFonts w:ascii="Arial" w:cs="Arial" w:eastAsia="Arial" w:hAnsi="Arial"/>
          <w:sz w:val="18"/>
          <w:szCs w:val="18"/>
          <w:b w:val="1"/>
          <w:bCs w:val="1"/>
          <w:color w:val="auto"/>
        </w:rPr>
        <w:t>Item 5.02</w:t>
        <w:tab/>
        <w:t>Departure of Directors or Principal Officers; Election of Directors; Appointment of Principal Officers; Compensatory Arrangements of Certain Officers.</w:t>
      </w:r>
    </w:p>
    <w:p>
      <w:pPr>
        <w:spacing w:after="0" w:line="166"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On June 15, 2020, Roger T. Staubach resigned as a director of GWG Holdings, Inc. (the “Company”), expressing his desire to begin stepping back from his numerous professional responsibilities and spending more time with his family. Mr. Staubach resignation was not due to any disagreement with the Company on any matter relating to the operations, policies or practices of the Company.</w:t>
      </w:r>
    </w:p>
    <w:p>
      <w:pPr>
        <w:spacing w:after="0" w:line="392"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6985</wp:posOffset>
            </wp:positionV>
            <wp:extent cx="713232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31" w:right="33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as amended, the Registrant has duly caused this report to be signed on its behalf by the undersigned hereunto duly authorized.</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540" w:type="dxa"/>
            <w:vAlign w:val="bottom"/>
          </w:tcPr>
          <w:p>
            <w:pPr>
              <w:spacing w:after="0"/>
              <w:rPr>
                <w:sz w:val="20"/>
                <w:szCs w:val="20"/>
                <w:color w:val="auto"/>
              </w:rPr>
            </w:pPr>
          </w:p>
        </w:tc>
        <w:tc>
          <w:tcPr>
            <w:tcW w:w="7700" w:type="dxa"/>
            <w:vAlign w:val="bottom"/>
            <w:gridSpan w:val="2"/>
          </w:tcPr>
          <w:p>
            <w:pPr>
              <w:ind w:left="3220"/>
              <w:spacing w:after="0"/>
              <w:rPr>
                <w:sz w:val="20"/>
                <w:szCs w:val="20"/>
                <w:color w:val="auto"/>
              </w:rPr>
            </w:pPr>
            <w:r>
              <w:rPr>
                <w:rFonts w:ascii="Arial" w:cs="Arial" w:eastAsia="Arial" w:hAnsi="Arial"/>
                <w:sz w:val="18"/>
                <w:szCs w:val="18"/>
                <w:b w:val="1"/>
                <w:bCs w:val="1"/>
                <w:color w:val="auto"/>
              </w:rPr>
              <w:t>GWG HOLDINGS, INC.</w:t>
            </w:r>
          </w:p>
        </w:tc>
      </w:tr>
      <w:tr>
        <w:trPr>
          <w:trHeight w:val="439"/>
        </w:trPr>
        <w:tc>
          <w:tcPr>
            <w:tcW w:w="3540" w:type="dxa"/>
            <w:vAlign w:val="bottom"/>
          </w:tcPr>
          <w:p>
            <w:pPr>
              <w:spacing w:after="0"/>
              <w:rPr>
                <w:sz w:val="20"/>
                <w:szCs w:val="20"/>
                <w:color w:val="auto"/>
              </w:rPr>
            </w:pPr>
            <w:r>
              <w:rPr>
                <w:rFonts w:ascii="Arial" w:cs="Arial" w:eastAsia="Arial" w:hAnsi="Arial"/>
                <w:sz w:val="18"/>
                <w:szCs w:val="18"/>
                <w:color w:val="auto"/>
              </w:rPr>
              <w:t>Date: June 19, 2020</w:t>
            </w:r>
          </w:p>
        </w:tc>
        <w:tc>
          <w:tcPr>
            <w:tcW w:w="3780" w:type="dxa"/>
            <w:vAlign w:val="bottom"/>
          </w:tcPr>
          <w:p>
            <w:pPr>
              <w:ind w:left="3220"/>
              <w:spacing w:after="0"/>
              <w:rPr>
                <w:sz w:val="20"/>
                <w:szCs w:val="20"/>
                <w:color w:val="auto"/>
              </w:rPr>
            </w:pPr>
            <w:r>
              <w:rPr>
                <w:rFonts w:ascii="Arial" w:cs="Arial" w:eastAsia="Arial" w:hAnsi="Arial"/>
                <w:sz w:val="18"/>
                <w:szCs w:val="18"/>
                <w:color w:val="auto"/>
              </w:rPr>
              <w:t>By:</w:t>
            </w:r>
          </w:p>
        </w:tc>
        <w:tc>
          <w:tcPr>
            <w:tcW w:w="39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Timothy Evans</w:t>
            </w:r>
          </w:p>
        </w:tc>
      </w:tr>
      <w:tr>
        <w:trPr>
          <w:trHeight w:val="202"/>
        </w:trPr>
        <w:tc>
          <w:tcPr>
            <w:tcW w:w="3540" w:type="dxa"/>
            <w:vAlign w:val="bottom"/>
          </w:tcPr>
          <w:p>
            <w:pPr>
              <w:spacing w:after="0"/>
              <w:rPr>
                <w:sz w:val="17"/>
                <w:szCs w:val="17"/>
                <w:color w:val="auto"/>
              </w:rPr>
            </w:pPr>
          </w:p>
        </w:tc>
        <w:tc>
          <w:tcPr>
            <w:tcW w:w="3780" w:type="dxa"/>
            <w:vAlign w:val="bottom"/>
          </w:tcPr>
          <w:p>
            <w:pPr>
              <w:ind w:left="3220"/>
              <w:spacing w:after="0" w:line="201" w:lineRule="exact"/>
              <w:rPr>
                <w:sz w:val="20"/>
                <w:szCs w:val="20"/>
                <w:color w:val="auto"/>
              </w:rPr>
            </w:pPr>
            <w:r>
              <w:rPr>
                <w:rFonts w:ascii="Arial" w:cs="Arial" w:eastAsia="Arial" w:hAnsi="Arial"/>
                <w:sz w:val="18"/>
                <w:szCs w:val="18"/>
                <w:color w:val="auto"/>
              </w:rPr>
              <w:t>Name:</w:t>
            </w:r>
          </w:p>
        </w:tc>
        <w:tc>
          <w:tcPr>
            <w:tcW w:w="3920" w:type="dxa"/>
            <w:vAlign w:val="bottom"/>
          </w:tcPr>
          <w:p>
            <w:pPr>
              <w:spacing w:after="0" w:line="201" w:lineRule="exact"/>
              <w:rPr>
                <w:sz w:val="20"/>
                <w:szCs w:val="20"/>
                <w:color w:val="auto"/>
              </w:rPr>
            </w:pPr>
            <w:r>
              <w:rPr>
                <w:rFonts w:ascii="Arial" w:cs="Arial" w:eastAsia="Arial" w:hAnsi="Arial"/>
                <w:sz w:val="18"/>
                <w:szCs w:val="18"/>
                <w:color w:val="auto"/>
              </w:rPr>
              <w:t>Timothy Evans</w:t>
            </w:r>
          </w:p>
        </w:tc>
      </w:tr>
      <w:tr>
        <w:trPr>
          <w:trHeight w:val="230"/>
        </w:trPr>
        <w:tc>
          <w:tcPr>
            <w:tcW w:w="3540" w:type="dxa"/>
            <w:vAlign w:val="bottom"/>
          </w:tcPr>
          <w:p>
            <w:pPr>
              <w:spacing w:after="0"/>
              <w:rPr>
                <w:sz w:val="20"/>
                <w:szCs w:val="20"/>
                <w:color w:val="auto"/>
              </w:rPr>
            </w:pPr>
          </w:p>
        </w:tc>
        <w:tc>
          <w:tcPr>
            <w:tcW w:w="3780" w:type="dxa"/>
            <w:vAlign w:val="bottom"/>
          </w:tcPr>
          <w:p>
            <w:pPr>
              <w:ind w:left="3220"/>
              <w:spacing w:after="0"/>
              <w:rPr>
                <w:sz w:val="20"/>
                <w:szCs w:val="20"/>
                <w:color w:val="auto"/>
              </w:rPr>
            </w:pPr>
            <w:r>
              <w:rPr>
                <w:rFonts w:ascii="Arial" w:cs="Arial" w:eastAsia="Arial" w:hAnsi="Arial"/>
                <w:sz w:val="18"/>
                <w:szCs w:val="18"/>
                <w:color w:val="auto"/>
              </w:rPr>
              <w:t>Title:</w:t>
            </w:r>
          </w:p>
        </w:tc>
        <w:tc>
          <w:tcPr>
            <w:tcW w:w="3920" w:type="dxa"/>
            <w:vAlign w:val="bottom"/>
          </w:tcPr>
          <w:p>
            <w:pPr>
              <w:spacing w:after="0"/>
              <w:rPr>
                <w:sz w:val="20"/>
                <w:szCs w:val="20"/>
                <w:color w:val="auto"/>
              </w:rPr>
            </w:pPr>
            <w:r>
              <w:rPr>
                <w:rFonts w:ascii="Arial" w:cs="Arial" w:eastAsia="Arial" w:hAnsi="Arial"/>
                <w:sz w:val="18"/>
                <w:szCs w:val="18"/>
                <w:color w:val="auto"/>
              </w:rPr>
              <w:t>Chief Financial Officer</w:t>
            </w:r>
          </w:p>
        </w:tc>
      </w:tr>
      <w:tr>
        <w:trPr>
          <w:trHeight w:val="655"/>
        </w:trPr>
        <w:tc>
          <w:tcPr>
            <w:tcW w:w="3540" w:type="dxa"/>
            <w:vAlign w:val="bottom"/>
            <w:tcBorders>
              <w:bottom w:val="single" w:sz="8" w:color="auto"/>
            </w:tcBorders>
          </w:tcPr>
          <w:p>
            <w:pPr>
              <w:spacing w:after="0"/>
              <w:rPr>
                <w:sz w:val="24"/>
                <w:szCs w:val="24"/>
                <w:color w:val="auto"/>
              </w:rPr>
            </w:pPr>
          </w:p>
        </w:tc>
        <w:tc>
          <w:tcPr>
            <w:tcW w:w="3780" w:type="dxa"/>
            <w:vAlign w:val="bottom"/>
            <w:tcBorders>
              <w:bottom w:val="single" w:sz="8" w:color="auto"/>
            </w:tcBorders>
          </w:tcPr>
          <w:p>
            <w:pPr>
              <w:ind w:left="2040"/>
              <w:spacing w:after="0"/>
              <w:rPr>
                <w:sz w:val="20"/>
                <w:szCs w:val="20"/>
                <w:color w:val="auto"/>
              </w:rPr>
            </w:pPr>
            <w:r>
              <w:rPr>
                <w:rFonts w:ascii="Arial" w:cs="Arial" w:eastAsia="Arial" w:hAnsi="Arial"/>
                <w:sz w:val="18"/>
                <w:szCs w:val="18"/>
                <w:color w:val="auto"/>
              </w:rPr>
              <w:t>2</w:t>
            </w:r>
          </w:p>
        </w:tc>
        <w:tc>
          <w:tcPr>
            <w:tcW w:w="3920" w:type="dxa"/>
            <w:vAlign w:val="bottom"/>
            <w:tcBorders>
              <w:bottom w:val="single" w:sz="8" w:color="auto"/>
            </w:tcBorders>
          </w:tcPr>
          <w:p>
            <w:pPr>
              <w:spacing w:after="0"/>
              <w:rPr>
                <w:sz w:val="24"/>
                <w:szCs w:val="24"/>
                <w:color w:val="auto"/>
              </w:rPr>
            </w:pPr>
          </w:p>
        </w:tc>
      </w:tr>
    </w:tbl>
    <w:p>
      <w:pPr>
        <w:spacing w:after="0" w:line="1" w:lineRule="exact"/>
        <w:rPr>
          <w:sz w:val="20"/>
          <w:szCs w:val="20"/>
          <w:color w:val="auto"/>
        </w:rPr>
      </w:pPr>
    </w:p>
    <w:sectPr>
      <w:pgSz w:w="11900" w:h="16838" w:orient="portrait"/>
      <w:cols w:equalWidth="0" w:num="1">
        <w:col w:w="11240"/>
      </w:cols>
      <w:pgMar w:left="320" w:top="904"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2020-06-19T15:14:20Z</dcterms:created>
  <dcterms:modified xsi:type="dcterms:W3CDTF">2020-06-19T15:14:20Z</dcterms:modified>
</cp:coreProperties>
</file>