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191770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SECURITIES AND EXCHANGE COMMISSION</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FORM 12b-25</w:t>
      </w:r>
    </w:p>
    <w:p>
      <w:pPr>
        <w:spacing w:after="0" w:line="22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Commission File Number 001-36615</w:t>
      </w:r>
    </w:p>
    <w:p>
      <w:pPr>
        <w:spacing w:after="0" w:line="22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NOTIFICATION OF LATE FILING</w:t>
      </w:r>
    </w:p>
    <w:p>
      <w:pPr>
        <w:spacing w:after="0" w:line="196" w:lineRule="exact"/>
        <w:rPr>
          <w:sz w:val="24"/>
          <w:szCs w:val="24"/>
          <w:color w:val="auto"/>
        </w:rPr>
      </w:pPr>
    </w:p>
    <w:p>
      <w:pPr>
        <w:spacing w:after="0" w:line="207" w:lineRule="exact"/>
        <w:tabs>
          <w:tab w:leader="none" w:pos="1340" w:val="left"/>
          <w:tab w:leader="none" w:pos="2680" w:val="left"/>
          <w:tab w:leader="none" w:pos="4040" w:val="left"/>
          <w:tab w:leader="none" w:pos="5380" w:val="left"/>
          <w:tab w:leader="none" w:pos="6740" w:val="left"/>
          <w:tab w:leader="none" w:pos="8080" w:val="left"/>
          <w:tab w:leader="none" w:pos="9540" w:val="left"/>
        </w:tabs>
        <w:rPr>
          <w:sz w:val="20"/>
          <w:szCs w:val="20"/>
          <w:color w:val="auto"/>
        </w:rPr>
      </w:pPr>
      <w:r>
        <w:rPr>
          <w:rFonts w:ascii="Arial" w:cs="Arial" w:eastAsia="Arial" w:hAnsi="Arial"/>
          <w:sz w:val="18"/>
          <w:szCs w:val="18"/>
          <w:color w:val="auto"/>
        </w:rPr>
        <w:t>(Check One):</w:t>
      </w:r>
      <w:r>
        <w:rPr>
          <w:sz w:val="20"/>
          <w:szCs w:val="20"/>
          <w:color w:val="auto"/>
        </w:rPr>
        <w:tab/>
      </w:r>
      <w:r>
        <w:rPr>
          <w:rFonts w:ascii="MS PGothic" w:cs="MS PGothic" w:eastAsia="MS PGothic" w:hAnsi="MS PGothic"/>
          <w:sz w:val="18"/>
          <w:szCs w:val="18"/>
          <w:color w:val="auto"/>
        </w:rPr>
        <w:t xml:space="preserve">☐ </w:t>
      </w:r>
      <w:r>
        <w:rPr>
          <w:rFonts w:ascii="Arial" w:cs="Arial" w:eastAsia="Arial" w:hAnsi="Arial"/>
          <w:sz w:val="18"/>
          <w:szCs w:val="18"/>
          <w:color w:val="auto"/>
        </w:rPr>
        <w:t>Form 10-K</w:t>
      </w:r>
      <w:r>
        <w:rPr>
          <w:rFonts w:ascii="MS PGothic" w:cs="MS PGothic" w:eastAsia="MS PGothic" w:hAnsi="MS PGothic"/>
          <w:sz w:val="18"/>
          <w:szCs w:val="18"/>
          <w:color w:val="auto"/>
        </w:rPr>
        <w:tab/>
        <w:t xml:space="preserve">☐ </w:t>
      </w:r>
      <w:r>
        <w:rPr>
          <w:rFonts w:ascii="Arial" w:cs="Arial" w:eastAsia="Arial" w:hAnsi="Arial"/>
          <w:sz w:val="18"/>
          <w:szCs w:val="18"/>
          <w:color w:val="auto"/>
        </w:rPr>
        <w:t>Form 20-F</w:t>
      </w:r>
      <w:r>
        <w:rPr>
          <w:rFonts w:ascii="MS PGothic" w:cs="MS PGothic" w:eastAsia="MS PGothic" w:hAnsi="MS PGothic"/>
          <w:sz w:val="18"/>
          <w:szCs w:val="18"/>
          <w:color w:val="auto"/>
        </w:rPr>
        <w:tab/>
        <w:t xml:space="preserve">☐ </w:t>
      </w:r>
      <w:r>
        <w:rPr>
          <w:rFonts w:ascii="Arial" w:cs="Arial" w:eastAsia="Arial" w:hAnsi="Arial"/>
          <w:sz w:val="18"/>
          <w:szCs w:val="18"/>
          <w:color w:val="auto"/>
        </w:rPr>
        <w:t>Form 11-K</w:t>
      </w:r>
      <w:r>
        <w:rPr>
          <w:rFonts w:ascii="MS PGothic" w:cs="MS PGothic" w:eastAsia="MS PGothic" w:hAnsi="MS PGothic"/>
          <w:sz w:val="18"/>
          <w:szCs w:val="18"/>
          <w:color w:val="auto"/>
        </w:rPr>
        <w:tab/>
        <w:t xml:space="preserve">☒ </w:t>
      </w:r>
      <w:r>
        <w:rPr>
          <w:rFonts w:ascii="Arial" w:cs="Arial" w:eastAsia="Arial" w:hAnsi="Arial"/>
          <w:sz w:val="18"/>
          <w:szCs w:val="18"/>
          <w:color w:val="auto"/>
        </w:rPr>
        <w:t>Form 10-Q</w:t>
      </w:r>
      <w:r>
        <w:rPr>
          <w:rFonts w:ascii="MS PGothic" w:cs="MS PGothic" w:eastAsia="MS PGothic" w:hAnsi="MS PGothic"/>
          <w:sz w:val="18"/>
          <w:szCs w:val="18"/>
          <w:color w:val="auto"/>
        </w:rPr>
        <w:tab/>
        <w:t xml:space="preserve">☐ </w:t>
      </w:r>
      <w:r>
        <w:rPr>
          <w:rFonts w:ascii="Arial" w:cs="Arial" w:eastAsia="Arial" w:hAnsi="Arial"/>
          <w:sz w:val="18"/>
          <w:szCs w:val="18"/>
          <w:color w:val="auto"/>
        </w:rPr>
        <w:t>Form 10-D</w:t>
      </w:r>
      <w:r>
        <w:rPr>
          <w:rFonts w:ascii="MS PGothic" w:cs="MS PGothic" w:eastAsia="MS PGothic" w:hAnsi="MS PGothic"/>
          <w:sz w:val="18"/>
          <w:szCs w:val="18"/>
          <w:color w:val="auto"/>
        </w:rPr>
        <w:tab/>
        <w:t xml:space="preserve">☐ </w:t>
      </w:r>
      <w:r>
        <w:rPr>
          <w:rFonts w:ascii="Arial" w:cs="Arial" w:eastAsia="Arial" w:hAnsi="Arial"/>
          <w:sz w:val="18"/>
          <w:szCs w:val="18"/>
          <w:color w:val="auto"/>
        </w:rPr>
        <w:t>Form N-SAR</w:t>
      </w:r>
      <w:r>
        <w:rPr>
          <w:sz w:val="20"/>
          <w:szCs w:val="20"/>
          <w:color w:val="auto"/>
        </w:rPr>
        <w:tab/>
      </w:r>
      <w:r>
        <w:rPr>
          <w:rFonts w:ascii="MS PGothic" w:cs="MS PGothic" w:eastAsia="MS PGothic" w:hAnsi="MS PGothic"/>
          <w:sz w:val="16"/>
          <w:szCs w:val="16"/>
          <w:color w:val="auto"/>
        </w:rPr>
        <w:t xml:space="preserve">☐ </w:t>
      </w:r>
      <w:r>
        <w:rPr>
          <w:rFonts w:ascii="Arial" w:cs="Arial" w:eastAsia="Arial" w:hAnsi="Arial"/>
          <w:sz w:val="16"/>
          <w:szCs w:val="16"/>
          <w:color w:val="auto"/>
        </w:rPr>
        <w:t>Form N-CSR</w:t>
      </w:r>
    </w:p>
    <w:p>
      <w:pPr>
        <w:spacing w:after="0" w:line="254" w:lineRule="exact"/>
        <w:rPr>
          <w:sz w:val="24"/>
          <w:szCs w:val="24"/>
          <w:color w:val="auto"/>
        </w:rPr>
      </w:pPr>
    </w:p>
    <w:p>
      <w:pPr>
        <w:ind w:left="1340"/>
        <w:spacing w:after="0"/>
        <w:rPr>
          <w:sz w:val="20"/>
          <w:szCs w:val="20"/>
          <w:color w:val="auto"/>
        </w:rPr>
      </w:pPr>
      <w:r>
        <w:rPr>
          <w:rFonts w:ascii="Arial" w:cs="Arial" w:eastAsia="Arial" w:hAnsi="Arial"/>
          <w:sz w:val="18"/>
          <w:szCs w:val="18"/>
          <w:color w:val="auto"/>
        </w:rPr>
        <w:t xml:space="preserve">For Period Ended: </w:t>
      </w:r>
      <w:r>
        <w:rPr>
          <w:rFonts w:ascii="Arial" w:cs="Arial" w:eastAsia="Arial" w:hAnsi="Arial"/>
          <w:sz w:val="18"/>
          <w:szCs w:val="18"/>
          <w:b w:val="1"/>
          <w:bCs w:val="1"/>
          <w:color w:val="auto"/>
        </w:rPr>
        <w:t>September 30,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1720215</wp:posOffset>
            </wp:positionH>
            <wp:positionV relativeFrom="paragraph">
              <wp:posOffset>-7620</wp:posOffset>
            </wp:positionV>
            <wp:extent cx="178371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715" cy="8255"/>
                    </a:xfrm>
                    <a:prstGeom prst="rect">
                      <a:avLst/>
                    </a:prstGeom>
                    <a:noFill/>
                  </pic:spPr>
                </pic:pic>
              </a:graphicData>
            </a:graphic>
          </wp:anchor>
        </w:drawing>
      </w:r>
    </w:p>
    <w:p>
      <w:pPr>
        <w:spacing w:after="0" w:line="209" w:lineRule="exact"/>
        <w:rPr>
          <w:sz w:val="24"/>
          <w:szCs w:val="24"/>
          <w:color w:val="auto"/>
        </w:rPr>
      </w:pPr>
    </w:p>
    <w:p>
      <w:pPr>
        <w:ind w:left="1640" w:hanging="296"/>
        <w:spacing w:after="0"/>
        <w:tabs>
          <w:tab w:leader="none" w:pos="1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10-K</w:t>
      </w:r>
    </w:p>
    <w:p>
      <w:pPr>
        <w:spacing w:after="0" w:line="25" w:lineRule="exact"/>
        <w:rPr>
          <w:rFonts w:ascii="MS PGothic" w:cs="MS PGothic" w:eastAsia="MS PGothic" w:hAnsi="MS PGothic"/>
          <w:sz w:val="18"/>
          <w:szCs w:val="18"/>
          <w:color w:val="auto"/>
        </w:rPr>
      </w:pPr>
    </w:p>
    <w:p>
      <w:pPr>
        <w:ind w:left="1640" w:hanging="296"/>
        <w:spacing w:after="0"/>
        <w:tabs>
          <w:tab w:leader="none" w:pos="1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20-F</w:t>
      </w:r>
    </w:p>
    <w:p>
      <w:pPr>
        <w:spacing w:after="0" w:line="9" w:lineRule="exact"/>
        <w:rPr>
          <w:rFonts w:ascii="MS PGothic" w:cs="MS PGothic" w:eastAsia="MS PGothic" w:hAnsi="MS PGothic"/>
          <w:sz w:val="18"/>
          <w:szCs w:val="18"/>
          <w:color w:val="auto"/>
        </w:rPr>
      </w:pPr>
    </w:p>
    <w:p>
      <w:pPr>
        <w:ind w:left="1640" w:hanging="296"/>
        <w:spacing w:after="0"/>
        <w:tabs>
          <w:tab w:leader="none" w:pos="1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11-K</w:t>
      </w:r>
    </w:p>
    <w:p>
      <w:pPr>
        <w:spacing w:after="0" w:line="9" w:lineRule="exact"/>
        <w:rPr>
          <w:rFonts w:ascii="MS PGothic" w:cs="MS PGothic" w:eastAsia="MS PGothic" w:hAnsi="MS PGothic"/>
          <w:sz w:val="18"/>
          <w:szCs w:val="18"/>
          <w:color w:val="auto"/>
        </w:rPr>
      </w:pPr>
    </w:p>
    <w:p>
      <w:pPr>
        <w:ind w:left="1640" w:hanging="296"/>
        <w:spacing w:after="0"/>
        <w:tabs>
          <w:tab w:leader="none" w:pos="1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10-Q</w:t>
      </w:r>
    </w:p>
    <w:p>
      <w:pPr>
        <w:spacing w:after="0" w:line="9" w:lineRule="exact"/>
        <w:rPr>
          <w:rFonts w:ascii="MS PGothic" w:cs="MS PGothic" w:eastAsia="MS PGothic" w:hAnsi="MS PGothic"/>
          <w:sz w:val="18"/>
          <w:szCs w:val="18"/>
          <w:color w:val="auto"/>
        </w:rPr>
      </w:pPr>
    </w:p>
    <w:p>
      <w:pPr>
        <w:ind w:left="1640" w:hanging="296"/>
        <w:spacing w:after="0"/>
        <w:tabs>
          <w:tab w:leader="none" w:pos="16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Transition Report on Form N-SAR</w:t>
      </w:r>
    </w:p>
    <w:p>
      <w:pPr>
        <w:spacing w:after="0" w:line="209" w:lineRule="exact"/>
        <w:rPr>
          <w:sz w:val="24"/>
          <w:szCs w:val="24"/>
          <w:color w:val="auto"/>
        </w:rPr>
      </w:pPr>
    </w:p>
    <w:p>
      <w:pPr>
        <w:ind w:left="1340"/>
        <w:spacing w:after="0"/>
        <w:rPr>
          <w:sz w:val="20"/>
          <w:szCs w:val="20"/>
          <w:color w:val="auto"/>
        </w:rPr>
      </w:pPr>
      <w:r>
        <w:rPr>
          <w:rFonts w:ascii="Arial" w:cs="Arial" w:eastAsia="Arial" w:hAnsi="Arial"/>
          <w:sz w:val="18"/>
          <w:szCs w:val="18"/>
          <w:color w:val="auto"/>
        </w:rPr>
        <w:t>For the Transition Period Ended: _________________</w:t>
      </w:r>
    </w:p>
    <w:p>
      <w:pPr>
        <w:spacing w:after="0" w:line="225" w:lineRule="exact"/>
        <w:rPr>
          <w:sz w:val="24"/>
          <w:szCs w:val="24"/>
          <w:color w:val="auto"/>
        </w:rPr>
      </w:pPr>
    </w:p>
    <w:p>
      <w:pPr>
        <w:ind w:left="620"/>
        <w:spacing w:after="0"/>
        <w:rPr>
          <w:sz w:val="20"/>
          <w:szCs w:val="20"/>
          <w:color w:val="auto"/>
        </w:rPr>
      </w:pPr>
      <w:r>
        <w:rPr>
          <w:rFonts w:ascii="Arial" w:cs="Arial" w:eastAsia="Arial" w:hAnsi="Arial"/>
          <w:sz w:val="18"/>
          <w:szCs w:val="18"/>
          <w:color w:val="auto"/>
        </w:rPr>
        <w:t>Read instruction (on back page) before preparing form. Please print or type.</w:t>
      </w:r>
    </w:p>
    <w:p>
      <w:pPr>
        <w:spacing w:after="0" w:line="225" w:lineRule="exact"/>
        <w:rPr>
          <w:sz w:val="24"/>
          <w:szCs w:val="24"/>
          <w:color w:val="auto"/>
        </w:rPr>
      </w:pPr>
    </w:p>
    <w:p>
      <w:pPr>
        <w:ind w:left="620"/>
        <w:spacing w:after="0"/>
        <w:rPr>
          <w:sz w:val="20"/>
          <w:szCs w:val="20"/>
          <w:color w:val="auto"/>
        </w:rPr>
      </w:pPr>
      <w:r>
        <w:rPr>
          <w:rFonts w:ascii="Arial" w:cs="Arial" w:eastAsia="Arial" w:hAnsi="Arial"/>
          <w:sz w:val="18"/>
          <w:szCs w:val="18"/>
          <w:color w:val="auto"/>
        </w:rPr>
        <w:t>Nothing in this form shall be construed to imply that the Commission has verified any information contained herein.</w:t>
      </w:r>
    </w:p>
    <w:p>
      <w:pPr>
        <w:spacing w:after="0" w:line="225" w:lineRule="exact"/>
        <w:rPr>
          <w:sz w:val="24"/>
          <w:szCs w:val="24"/>
          <w:color w:val="auto"/>
        </w:rPr>
      </w:pPr>
    </w:p>
    <w:p>
      <w:pPr>
        <w:ind w:left="620"/>
        <w:spacing w:after="0"/>
        <w:rPr>
          <w:sz w:val="20"/>
          <w:szCs w:val="20"/>
          <w:color w:val="auto"/>
        </w:rPr>
      </w:pPr>
      <w:r>
        <w:rPr>
          <w:rFonts w:ascii="Arial" w:cs="Arial" w:eastAsia="Arial" w:hAnsi="Arial"/>
          <w:sz w:val="16"/>
          <w:szCs w:val="16"/>
          <w:color w:val="auto"/>
        </w:rPr>
        <w:t>If the notification relates to a portion of the filing checked above, identify the item(s) to which the notification relates: _______________________</w:t>
      </w:r>
    </w:p>
    <w:p>
      <w:pPr>
        <w:spacing w:after="0" w:line="244"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REGISTRANT INFORMATION</w:t>
      </w:r>
    </w:p>
    <w:p>
      <w:pPr>
        <w:spacing w:after="0" w:line="20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GWG Holdings,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4"/>
          <w:szCs w:val="24"/>
          <w:color w:val="auto"/>
        </w:rPr>
      </w:pPr>
    </w:p>
    <w:p>
      <w:pPr>
        <w:spacing w:after="0"/>
        <w:rPr>
          <w:sz w:val="20"/>
          <w:szCs w:val="20"/>
          <w:color w:val="auto"/>
        </w:rPr>
      </w:pPr>
      <w:r>
        <w:rPr>
          <w:rFonts w:ascii="Arial" w:cs="Arial" w:eastAsia="Arial" w:hAnsi="Arial"/>
          <w:sz w:val="18"/>
          <w:szCs w:val="18"/>
          <w:color w:val="auto"/>
        </w:rPr>
        <w:t>Full name of registrant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0" w:lineRule="exact"/>
        <w:rPr>
          <w:sz w:val="24"/>
          <w:szCs w:val="24"/>
          <w:color w:val="auto"/>
        </w:rPr>
      </w:pPr>
    </w:p>
    <w:p>
      <w:pPr>
        <w:spacing w:after="0" w:line="248" w:lineRule="exact"/>
        <w:rPr>
          <w:sz w:val="24"/>
          <w:szCs w:val="24"/>
          <w:color w:val="auto"/>
        </w:rPr>
      </w:pPr>
    </w:p>
    <w:p>
      <w:pPr>
        <w:spacing w:after="0"/>
        <w:rPr>
          <w:sz w:val="20"/>
          <w:szCs w:val="20"/>
          <w:color w:val="auto"/>
        </w:rPr>
      </w:pPr>
      <w:r>
        <w:rPr>
          <w:rFonts w:ascii="Arial" w:cs="Arial" w:eastAsia="Arial" w:hAnsi="Arial"/>
          <w:sz w:val="18"/>
          <w:szCs w:val="18"/>
          <w:color w:val="auto"/>
        </w:rPr>
        <w:t>Former name if applicable</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325 N. St. Paul Street, Suite 2650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4"/>
          <w:szCs w:val="24"/>
          <w:color w:val="auto"/>
        </w:rPr>
      </w:pPr>
    </w:p>
    <w:p>
      <w:pPr>
        <w:spacing w:after="0"/>
        <w:rPr>
          <w:sz w:val="20"/>
          <w:szCs w:val="20"/>
          <w:color w:val="auto"/>
        </w:rPr>
      </w:pPr>
      <w:r>
        <w:rPr>
          <w:rFonts w:ascii="Arial" w:cs="Arial" w:eastAsia="Arial" w:hAnsi="Arial"/>
          <w:sz w:val="18"/>
          <w:szCs w:val="18"/>
          <w:color w:val="auto"/>
        </w:rPr>
        <w:t xml:space="preserve">Address of principal executive office </w:t>
      </w:r>
      <w:r>
        <w:rPr>
          <w:rFonts w:ascii="Arial" w:cs="Arial" w:eastAsia="Arial" w:hAnsi="Arial"/>
          <w:sz w:val="18"/>
          <w:szCs w:val="18"/>
          <w:i w:val="1"/>
          <w:iCs w:val="1"/>
          <w:color w:val="auto"/>
        </w:rPr>
        <w:t>(Street and number)</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Dallas, Texas 75201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4"/>
          <w:szCs w:val="24"/>
          <w:color w:val="auto"/>
        </w:rPr>
      </w:pPr>
    </w:p>
    <w:p>
      <w:pPr>
        <w:spacing w:after="0"/>
        <w:rPr>
          <w:sz w:val="20"/>
          <w:szCs w:val="20"/>
          <w:color w:val="auto"/>
        </w:rPr>
      </w:pPr>
      <w:r>
        <w:rPr>
          <w:rFonts w:ascii="Arial" w:cs="Arial" w:eastAsia="Arial" w:hAnsi="Arial"/>
          <w:sz w:val="18"/>
          <w:szCs w:val="18"/>
          <w:color w:val="auto"/>
        </w:rPr>
        <w:t>City, state and zip code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171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20"/>
          </w:cols>
          <w:pgMar w:left="320" w:top="540" w:right="35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t>PART II</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RULE 12b-25(b) AND (c)</w:t>
      </w:r>
    </w:p>
    <w:p>
      <w:pPr>
        <w:spacing w:after="0" w:line="211" w:lineRule="exact"/>
        <w:rPr>
          <w:sz w:val="20"/>
          <w:szCs w:val="20"/>
          <w:color w:val="auto"/>
        </w:rPr>
      </w:pPr>
    </w:p>
    <w:p>
      <w:pPr>
        <w:ind w:firstLine="607"/>
        <w:spacing w:after="0" w:line="277" w:lineRule="auto"/>
        <w:rPr>
          <w:sz w:val="20"/>
          <w:szCs w:val="20"/>
          <w:color w:val="auto"/>
        </w:rPr>
      </w:pPr>
      <w:r>
        <w:rPr>
          <w:rFonts w:ascii="Arial" w:cs="Arial" w:eastAsia="Arial" w:hAnsi="Arial"/>
          <w:sz w:val="18"/>
          <w:szCs w:val="18"/>
          <w:color w:val="auto"/>
        </w:rPr>
        <w:t>If the subject report could not be filed without unreasonable effort or expense and the registrant seeks relief pursuant to Rule 12b-25(b), the following should be completed. (Check box if appropriate.)</w:t>
      </w:r>
    </w:p>
    <w:p>
      <w:pPr>
        <w:sectPr>
          <w:pgSz w:w="11900" w:h="16838" w:orient="portrait"/>
          <w:cols w:equalWidth="0" w:num="1">
            <w:col w:w="11240"/>
          </w:cols>
          <w:pgMar w:left="320" w:top="904" w:right="339" w:bottom="1440" w:gutter="0" w:footer="0" w:header="0"/>
        </w:sectPr>
      </w:pPr>
    </w:p>
    <w:p>
      <w:pPr>
        <w:spacing w:after="0" w:line="200" w:lineRule="exact"/>
        <w:rPr>
          <w:sz w:val="20"/>
          <w:szCs w:val="20"/>
          <w:color w:val="auto"/>
        </w:rPr>
      </w:pPr>
    </w:p>
    <w:p>
      <w:pPr>
        <w:spacing w:after="0" w:line="370" w:lineRule="exact"/>
        <w:rPr>
          <w:sz w:val="20"/>
          <w:szCs w:val="20"/>
          <w:color w:val="auto"/>
        </w:rPr>
      </w:pPr>
    </w:p>
    <w:p>
      <w:pPr>
        <w:ind w:left="140"/>
        <w:spacing w:after="0" w:line="161" w:lineRule="exact"/>
        <w:rPr>
          <w:sz w:val="20"/>
          <w:szCs w:val="20"/>
          <w:color w:val="auto"/>
        </w:rPr>
      </w:pPr>
      <w:r>
        <w:rPr>
          <w:rFonts w:ascii="MS PGothic" w:cs="MS PGothic" w:eastAsia="MS PGothic" w:hAnsi="MS PGothic"/>
          <w:sz w:val="16"/>
          <w:szCs w:val="16"/>
          <w:color w:val="auto"/>
        </w:rPr>
        <w:t>☒</w:t>
      </w:r>
    </w:p>
    <w:p>
      <w:pPr>
        <w:spacing w:after="0" w:line="20" w:lineRule="exact"/>
        <w:rPr>
          <w:sz w:val="20"/>
          <w:szCs w:val="20"/>
          <w:color w:val="auto"/>
        </w:rPr>
      </w:pPr>
      <w:r>
        <w:rPr>
          <w:sz w:val="20"/>
          <w:szCs w:val="20"/>
          <w:color w:val="auto"/>
        </w:rPr>
        <w:br w:type="column"/>
      </w:r>
    </w:p>
    <w:p>
      <w:pPr>
        <w:spacing w:after="0" w:line="150" w:lineRule="exact"/>
        <w:rPr>
          <w:sz w:val="20"/>
          <w:szCs w:val="20"/>
          <w:color w:val="auto"/>
        </w:rPr>
      </w:pPr>
    </w:p>
    <w:p>
      <w:pPr>
        <w:ind w:left="322" w:hanging="317"/>
        <w:spacing w:after="0"/>
        <w:tabs>
          <w:tab w:leader="none" w:pos="322"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reasons described in reasonable detail in Part III of this form could not be eliminated without unreasonable effort or expense;</w:t>
      </w:r>
    </w:p>
    <w:p>
      <w:pPr>
        <w:spacing w:after="0" w:line="225" w:lineRule="exact"/>
        <w:rPr>
          <w:rFonts w:ascii="Arial" w:cs="Arial" w:eastAsia="Arial" w:hAnsi="Arial"/>
          <w:sz w:val="18"/>
          <w:szCs w:val="18"/>
          <w:color w:val="auto"/>
        </w:rPr>
      </w:pPr>
    </w:p>
    <w:p>
      <w:pPr>
        <w:jc w:val="both"/>
        <w:ind w:left="322" w:hanging="322"/>
        <w:spacing w:after="0" w:line="259" w:lineRule="auto"/>
        <w:tabs>
          <w:tab w:leader="none" w:pos="322"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subject annual report, semi-annual report, transition report on Form 10-K, Form 20-F, Form 11-K, Form N-SAR or Form N-CSR, or portion thereof, will be filed on or before the fifteenth calendar day following the prescribed due date; or the subject quarterly report or transition report on Form 10-Q or subject distribution report on Form 10-D, or portion thereof, will be filed on or before the fifth calendar day following the prescribed due date; and</w:t>
      </w:r>
    </w:p>
    <w:p>
      <w:pPr>
        <w:spacing w:after="0" w:line="186" w:lineRule="exact"/>
        <w:rPr>
          <w:rFonts w:ascii="Arial" w:cs="Arial" w:eastAsia="Arial" w:hAnsi="Arial"/>
          <w:sz w:val="18"/>
          <w:szCs w:val="18"/>
          <w:color w:val="auto"/>
        </w:rPr>
      </w:pPr>
    </w:p>
    <w:p>
      <w:pPr>
        <w:ind w:left="322" w:hanging="317"/>
        <w:spacing w:after="0"/>
        <w:tabs>
          <w:tab w:leader="none" w:pos="322"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accountant’s statement or other exhibit required by Rule 12b-25(c) has been attached if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-86995</wp:posOffset>
            </wp:positionH>
            <wp:positionV relativeFrom="paragraph">
              <wp:posOffset>-1082040</wp:posOffset>
            </wp:positionV>
            <wp:extent cx="17145" cy="10972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7145" cy="1097280"/>
                    </a:xfrm>
                    <a:prstGeom prst="rect">
                      <a:avLst/>
                    </a:prstGeom>
                    <a:noFill/>
                  </pic:spPr>
                </pic:pic>
              </a:graphicData>
            </a:graphic>
          </wp:anchor>
        </w:drawing>
      </w:r>
    </w:p>
    <w:p>
      <w:pPr>
        <w:spacing w:after="0" w:line="201" w:lineRule="exact"/>
        <w:rPr>
          <w:sz w:val="20"/>
          <w:szCs w:val="20"/>
          <w:color w:val="auto"/>
        </w:rPr>
      </w:pPr>
    </w:p>
    <w:p>
      <w:pPr>
        <w:jc w:val="center"/>
        <w:ind w:right="578"/>
        <w:spacing w:after="0"/>
        <w:rPr>
          <w:sz w:val="20"/>
          <w:szCs w:val="20"/>
          <w:color w:val="auto"/>
        </w:rPr>
      </w:pPr>
      <w:r>
        <w:rPr>
          <w:rFonts w:ascii="Arial" w:cs="Arial" w:eastAsia="Arial" w:hAnsi="Arial"/>
          <w:sz w:val="18"/>
          <w:szCs w:val="18"/>
          <w:b w:val="1"/>
          <w:bCs w:val="1"/>
          <w:color w:val="auto"/>
        </w:rPr>
        <w:t>PART III</w:t>
      </w:r>
    </w:p>
    <w:p>
      <w:pPr>
        <w:spacing w:after="0" w:line="27" w:lineRule="exact"/>
        <w:rPr>
          <w:sz w:val="20"/>
          <w:szCs w:val="20"/>
          <w:color w:val="auto"/>
        </w:rPr>
      </w:pPr>
    </w:p>
    <w:p>
      <w:pPr>
        <w:jc w:val="center"/>
        <w:ind w:right="578"/>
        <w:spacing w:after="0"/>
        <w:rPr>
          <w:sz w:val="20"/>
          <w:szCs w:val="20"/>
          <w:color w:val="auto"/>
        </w:rPr>
      </w:pPr>
      <w:r>
        <w:rPr>
          <w:rFonts w:ascii="Arial" w:cs="Arial" w:eastAsia="Arial" w:hAnsi="Arial"/>
          <w:sz w:val="18"/>
          <w:szCs w:val="18"/>
          <w:b w:val="1"/>
          <w:bCs w:val="1"/>
          <w:color w:val="auto"/>
        </w:rPr>
        <w:t>NARRATIVE</w:t>
      </w:r>
    </w:p>
    <w:p>
      <w:pPr>
        <w:spacing w:after="0" w:line="200" w:lineRule="exact"/>
        <w:rPr>
          <w:sz w:val="20"/>
          <w:szCs w:val="20"/>
          <w:color w:val="auto"/>
        </w:rPr>
      </w:pPr>
    </w:p>
    <w:p>
      <w:pPr>
        <w:sectPr>
          <w:pgSz w:w="11900" w:h="16838" w:orient="portrait"/>
          <w:cols w:equalWidth="0" w:num="2">
            <w:col w:w="300" w:space="278"/>
            <w:col w:w="10662"/>
          </w:cols>
          <w:pgMar w:left="320" w:top="904" w:right="339" w:bottom="1440" w:gutter="0" w:footer="0" w:header="0"/>
          <w:type w:val="continuous"/>
        </w:sectPr>
      </w:pPr>
    </w:p>
    <w:p>
      <w:pPr>
        <w:spacing w:after="0" w:line="11" w:lineRule="exact"/>
        <w:rPr>
          <w:sz w:val="20"/>
          <w:szCs w:val="20"/>
          <w:color w:val="auto"/>
        </w:rPr>
      </w:pPr>
    </w:p>
    <w:p>
      <w:pPr>
        <w:jc w:val="both"/>
        <w:ind w:firstLine="607"/>
        <w:spacing w:after="0" w:line="277" w:lineRule="auto"/>
        <w:rPr>
          <w:sz w:val="20"/>
          <w:szCs w:val="20"/>
          <w:color w:val="auto"/>
        </w:rPr>
      </w:pPr>
      <w:r>
        <w:rPr>
          <w:rFonts w:ascii="Arial" w:cs="Arial" w:eastAsia="Arial" w:hAnsi="Arial"/>
          <w:sz w:val="18"/>
          <w:szCs w:val="18"/>
          <w:color w:val="auto"/>
        </w:rPr>
        <w:t>State below in reasonable detail why Forms 10-K, 20-F, 11-K, 10-Q, 10-D, N-SAR, N-CSR or the transition report or portion thereof, could not be filed within the prescribed time period.</w:t>
      </w:r>
    </w:p>
    <w:p>
      <w:pPr>
        <w:spacing w:after="0" w:line="170" w:lineRule="exact"/>
        <w:rPr>
          <w:sz w:val="20"/>
          <w:szCs w:val="20"/>
          <w:color w:val="auto"/>
        </w:rPr>
      </w:pPr>
    </w:p>
    <w:p>
      <w:pPr>
        <w:jc w:val="both"/>
        <w:ind w:firstLine="607"/>
        <w:spacing w:after="0" w:line="255" w:lineRule="auto"/>
        <w:rPr>
          <w:sz w:val="20"/>
          <w:szCs w:val="20"/>
          <w:color w:val="auto"/>
        </w:rPr>
      </w:pPr>
      <w:r>
        <w:rPr>
          <w:rFonts w:ascii="Arial" w:cs="Arial" w:eastAsia="Arial" w:hAnsi="Arial"/>
          <w:sz w:val="18"/>
          <w:szCs w:val="18"/>
          <w:color w:val="auto"/>
        </w:rPr>
        <w:t>The compilation, review and dissemination of the information required to be presented on Registrant’s Form 10-Q for the period ending September 30, 2020 could not be completed and filed by November 16, 2020 as required by 17 CFR 240.15d-13(a) without unreasonable effort or expense. The Registrant and its recently engaged Independent Registered Public Accounting Firm (“Firm”) are evaluating Registrant’s internal controls, methodology and calculations surrounding certain valuation allowances for deferred tax assets. Although Registrant is unable to file its Form 10-Q for the period ending September 30, 2020 by the original due date of November 16, 2020, Registrant expects to file within the 5 calendar day grace period, as provided by Rule 12b-25.</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PART IV</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OTHER INFORMATION</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55"/>
        </w:trPr>
        <w:tc>
          <w:tcPr>
            <w:tcW w:w="3940" w:type="dxa"/>
            <w:vAlign w:val="bottom"/>
            <w:gridSpan w:val="2"/>
          </w:tcPr>
          <w:p>
            <w:pPr>
              <w:jc w:val="center"/>
              <w:ind w:right="560"/>
              <w:spacing w:after="0"/>
              <w:rPr>
                <w:sz w:val="20"/>
                <w:szCs w:val="20"/>
                <w:color w:val="auto"/>
              </w:rPr>
            </w:pPr>
            <w:r>
              <w:rPr>
                <w:rFonts w:ascii="Arial" w:cs="Arial" w:eastAsia="Arial" w:hAnsi="Arial"/>
                <w:sz w:val="18"/>
                <w:szCs w:val="18"/>
                <w:b w:val="1"/>
                <w:bCs w:val="1"/>
                <w:color w:val="auto"/>
                <w:w w:val="92"/>
              </w:rPr>
              <w:t>Timothy Evans</w:t>
            </w:r>
          </w:p>
        </w:tc>
        <w:tc>
          <w:tcPr>
            <w:tcW w:w="3380" w:type="dxa"/>
            <w:vAlign w:val="bottom"/>
          </w:tcPr>
          <w:p>
            <w:pPr>
              <w:jc w:val="right"/>
              <w:ind w:right="1450"/>
              <w:spacing w:after="0"/>
              <w:rPr>
                <w:sz w:val="20"/>
                <w:szCs w:val="20"/>
                <w:color w:val="auto"/>
              </w:rPr>
            </w:pPr>
            <w:r>
              <w:rPr>
                <w:rFonts w:ascii="Arial" w:cs="Arial" w:eastAsia="Arial" w:hAnsi="Arial"/>
                <w:sz w:val="18"/>
                <w:szCs w:val="18"/>
                <w:b w:val="1"/>
                <w:bCs w:val="1"/>
                <w:color w:val="auto"/>
              </w:rPr>
              <w:t>267</w:t>
            </w:r>
          </w:p>
        </w:tc>
        <w:tc>
          <w:tcPr>
            <w:tcW w:w="560" w:type="dxa"/>
            <w:vAlign w:val="bottom"/>
          </w:tcPr>
          <w:p>
            <w:pPr>
              <w:spacing w:after="0"/>
              <w:rPr>
                <w:sz w:val="22"/>
                <w:szCs w:val="22"/>
                <w:color w:val="auto"/>
              </w:rPr>
            </w:pPr>
          </w:p>
        </w:tc>
        <w:tc>
          <w:tcPr>
            <w:tcW w:w="3360" w:type="dxa"/>
            <w:vAlign w:val="bottom"/>
          </w:tcPr>
          <w:p>
            <w:pPr>
              <w:jc w:val="right"/>
              <w:ind w:right="1250"/>
              <w:spacing w:after="0"/>
              <w:rPr>
                <w:sz w:val="20"/>
                <w:szCs w:val="20"/>
                <w:color w:val="auto"/>
              </w:rPr>
            </w:pPr>
            <w:r>
              <w:rPr>
                <w:rFonts w:ascii="Arial" w:cs="Arial" w:eastAsia="Arial" w:hAnsi="Arial"/>
                <w:sz w:val="18"/>
                <w:szCs w:val="18"/>
                <w:b w:val="1"/>
                <w:bCs w:val="1"/>
                <w:color w:val="auto"/>
              </w:rPr>
              <w:t>258-2856</w:t>
            </w:r>
          </w:p>
        </w:tc>
      </w:tr>
      <w:tr>
        <w:trPr>
          <w:trHeight w:val="230"/>
        </w:trPr>
        <w:tc>
          <w:tcPr>
            <w:tcW w:w="33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3"/>
              </w:rPr>
              <w:t>(Name)</w:t>
            </w:r>
          </w:p>
        </w:tc>
        <w:tc>
          <w:tcPr>
            <w:tcW w:w="560" w:type="dxa"/>
            <w:vAlign w:val="bottom"/>
          </w:tcPr>
          <w:p>
            <w:pPr>
              <w:spacing w:after="0"/>
              <w:rPr>
                <w:sz w:val="20"/>
                <w:szCs w:val="20"/>
                <w:color w:val="auto"/>
              </w:rPr>
            </w:pPr>
          </w:p>
        </w:tc>
        <w:tc>
          <w:tcPr>
            <w:tcW w:w="33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9"/>
              </w:rPr>
              <w:t>(Area Code)</w:t>
            </w:r>
          </w:p>
        </w:tc>
        <w:tc>
          <w:tcPr>
            <w:tcW w:w="560" w:type="dxa"/>
            <w:vAlign w:val="bottom"/>
          </w:tcPr>
          <w:p>
            <w:pPr>
              <w:spacing w:after="0"/>
              <w:rPr>
                <w:sz w:val="20"/>
                <w:szCs w:val="20"/>
                <w:color w:val="auto"/>
              </w:rPr>
            </w:pPr>
          </w:p>
        </w:tc>
        <w:tc>
          <w:tcPr>
            <w:tcW w:w="33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9"/>
              </w:rPr>
              <w:t>(Telephone number)</w:t>
            </w:r>
          </w:p>
        </w:tc>
      </w:tr>
    </w:tbl>
    <w:p>
      <w:pPr>
        <w:spacing w:after="0" w:line="187" w:lineRule="exact"/>
        <w:rPr>
          <w:sz w:val="20"/>
          <w:szCs w:val="20"/>
          <w:color w:val="auto"/>
        </w:rPr>
      </w:pPr>
    </w:p>
    <w:p>
      <w:pPr>
        <w:ind w:left="460" w:hanging="452"/>
        <w:spacing w:after="0"/>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Name and telephone number of person to contact in regard to this notification</w:t>
      </w:r>
    </w:p>
    <w:p>
      <w:pPr>
        <w:spacing w:after="0" w:line="225" w:lineRule="exact"/>
        <w:rPr>
          <w:rFonts w:ascii="Arial" w:cs="Arial" w:eastAsia="Arial" w:hAnsi="Arial"/>
          <w:sz w:val="18"/>
          <w:szCs w:val="18"/>
          <w:color w:val="auto"/>
        </w:rPr>
      </w:pPr>
    </w:p>
    <w:p>
      <w:pPr>
        <w:jc w:val="both"/>
        <w:ind w:left="460" w:hanging="452"/>
        <w:spacing w:after="0" w:line="255"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Have all other periodic reports required under Section 13 or 15(d) of the Securities Exchange Act of 1934 or Section 30 of the Investment Company Act of 1940 during the preceding 12 months or for such shorter period that the registrant was required to file such report(s) been filed? If the answer is no, identify report(s).</w:t>
      </w:r>
    </w:p>
    <w:p>
      <w:pPr>
        <w:spacing w:after="0" w:line="2" w:lineRule="exact"/>
        <w:rPr>
          <w:rFonts w:ascii="Arial" w:cs="Arial" w:eastAsia="Arial" w:hAnsi="Arial"/>
          <w:sz w:val="18"/>
          <w:szCs w:val="18"/>
          <w:color w:val="auto"/>
        </w:rPr>
      </w:pPr>
    </w:p>
    <w:p>
      <w:pPr>
        <w:ind w:left="700" w:hanging="247"/>
        <w:spacing w:after="0" w:line="207" w:lineRule="exact"/>
        <w:tabs>
          <w:tab w:leader="none" w:pos="700" w:val="left"/>
        </w:tabs>
        <w:numPr>
          <w:ilvl w:val="1"/>
          <w:numId w:val="3"/>
        </w:numPr>
        <w:rPr>
          <w:rFonts w:ascii="MS PGothic" w:cs="MS PGothic" w:eastAsia="MS PGothic" w:hAnsi="MS PGothic"/>
          <w:sz w:val="18"/>
          <w:szCs w:val="18"/>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210" w:lineRule="exact"/>
        <w:rPr>
          <w:rFonts w:ascii="MS PGothic" w:cs="MS PGothic" w:eastAsia="MS PGothic" w:hAnsi="MS PGothic"/>
          <w:sz w:val="18"/>
          <w:szCs w:val="18"/>
          <w:color w:val="auto"/>
        </w:rPr>
      </w:pPr>
    </w:p>
    <w:p>
      <w:pPr>
        <w:ind w:left="460" w:hanging="452"/>
        <w:spacing w:after="0" w:line="258"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Is it anticipated that any significant change in results of operations from the corresponding period for the last fiscal year will be reflected by the earnings statements to be included in the subject report or portion thereof.</w:t>
      </w:r>
    </w:p>
    <w:p>
      <w:pPr>
        <w:spacing w:after="0" w:line="1" w:lineRule="exact"/>
        <w:rPr>
          <w:rFonts w:ascii="Arial" w:cs="Arial" w:eastAsia="Arial" w:hAnsi="Arial"/>
          <w:sz w:val="18"/>
          <w:szCs w:val="18"/>
          <w:color w:val="auto"/>
        </w:rPr>
      </w:pPr>
    </w:p>
    <w:p>
      <w:pPr>
        <w:ind w:left="660" w:hanging="207"/>
        <w:spacing w:after="0" w:line="207" w:lineRule="exact"/>
        <w:tabs>
          <w:tab w:leader="none" w:pos="660" w:val="left"/>
        </w:tabs>
        <w:numPr>
          <w:ilvl w:val="1"/>
          <w:numId w:val="3"/>
        </w:numPr>
        <w:rPr>
          <w:rFonts w:ascii="MS PGothic" w:cs="MS PGothic" w:eastAsia="MS PGothic" w:hAnsi="MS PGothic"/>
          <w:sz w:val="18"/>
          <w:szCs w:val="18"/>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r>
        <w:rPr>
          <w:rFonts w:ascii="Arial" w:cs="Arial" w:eastAsia="Arial" w:hAnsi="Arial"/>
          <w:sz w:val="18"/>
          <w:szCs w:val="18"/>
          <w:color w:val="auto"/>
        </w:rPr>
        <w:t xml:space="preserve"> No</w:t>
      </w:r>
    </w:p>
    <w:p>
      <w:pPr>
        <w:spacing w:after="0" w:line="211" w:lineRule="exact"/>
        <w:rPr>
          <w:sz w:val="20"/>
          <w:szCs w:val="20"/>
          <w:color w:val="auto"/>
        </w:rPr>
      </w:pPr>
    </w:p>
    <w:p>
      <w:pPr>
        <w:ind w:left="460"/>
        <w:spacing w:after="0" w:line="277" w:lineRule="auto"/>
        <w:rPr>
          <w:sz w:val="20"/>
          <w:szCs w:val="20"/>
          <w:color w:val="auto"/>
        </w:rPr>
      </w:pPr>
      <w:r>
        <w:rPr>
          <w:rFonts w:ascii="Arial" w:cs="Arial" w:eastAsia="Arial" w:hAnsi="Arial"/>
          <w:sz w:val="18"/>
          <w:szCs w:val="18"/>
          <w:color w:val="auto"/>
        </w:rPr>
        <w:t>If so: attach an explanation of the anticipated change, both narratively and quantitatively, and, if appropriate, state the reasons why a reasonable estimate of the results cannot be made.</w:t>
      </w:r>
    </w:p>
    <w:p>
      <w:pPr>
        <w:spacing w:after="0" w:line="170" w:lineRule="exact"/>
        <w:rPr>
          <w:sz w:val="20"/>
          <w:szCs w:val="20"/>
          <w:color w:val="auto"/>
        </w:rPr>
      </w:pPr>
    </w:p>
    <w:p>
      <w:pPr>
        <w:ind w:left="460"/>
        <w:spacing w:after="0" w:line="277" w:lineRule="auto"/>
        <w:rPr>
          <w:sz w:val="20"/>
          <w:szCs w:val="20"/>
          <w:color w:val="auto"/>
        </w:rPr>
      </w:pPr>
      <w:r>
        <w:rPr>
          <w:rFonts w:ascii="Arial" w:cs="Arial" w:eastAsia="Arial" w:hAnsi="Arial"/>
          <w:sz w:val="18"/>
          <w:szCs w:val="18"/>
          <w:color w:val="auto"/>
        </w:rPr>
        <w:t>The Registrant’s results of operations cannot currently be estimated, as the results may be affected by the final determination of the proper accounting treatment for deferred tax assets.</w:t>
      </w:r>
    </w:p>
    <w:p>
      <w:pPr>
        <w:spacing w:after="0" w:line="17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i w:val="1"/>
          <w:iCs w:val="1"/>
          <w:color w:val="auto"/>
        </w:rPr>
        <w:t>Note: This Form 12b-25 contains “forward-looking statements” within the meaning of the Private Securities Litigation Reform Act of 1995 that involve risks and uncertainties. Such forward-looking statements include, but are not limited to, statements relating to the timing of the filing of the Form 10-Q and changes to the Company’s results of operations for the three and six months ended June 30, 2019 as compared to prior year period. There can be no assurance that these forward-looking statements will be achieved, and actual results could differ materially from those suggested by the forward-looking statements. Therefore, the forward-looking statements in this Form 12b-25 should be considered in light of the risks and uncertainties that attend such statements. The Company makes no commitment to revise or update any forward-looking statements in order to reflect events or circumstances after the date any such statement is made, except as required by law.</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type w:val="continuous"/>
        </w:sectPr>
      </w:pPr>
    </w:p>
    <w:bookmarkStart w:id="2" w:name="page3"/>
    <w:bookmarkEnd w:id="2"/>
    <w:tbl>
      <w:tblPr>
        <w:tblLayout w:type="fixed"/>
        <w:tblInd w:w="0" w:type="dxa"/>
        <w:tblCellMar>
          <w:top w:w="0" w:type="dxa"/>
          <w:left w:w="0" w:type="dxa"/>
          <w:bottom w:w="0" w:type="dxa"/>
          <w:right w:w="0" w:type="dxa"/>
        </w:tblCellMar>
      </w:tblPr>
      <w:tr>
        <w:trPr>
          <w:trHeight w:val="207"/>
        </w:trPr>
        <w:tc>
          <w:tcPr>
            <w:tcW w:w="294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15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4"/>
              </w:rPr>
              <w:t>GWG Holdings, Inc.</w:t>
            </w:r>
          </w:p>
        </w:tc>
        <w:tc>
          <w:tcPr>
            <w:tcW w:w="900" w:type="dxa"/>
            <w:vAlign w:val="bottom"/>
          </w:tcPr>
          <w:p>
            <w:pPr>
              <w:spacing w:after="0"/>
              <w:rPr>
                <w:sz w:val="17"/>
                <w:szCs w:val="17"/>
                <w:color w:val="auto"/>
              </w:rPr>
            </w:pPr>
          </w:p>
        </w:tc>
        <w:tc>
          <w:tcPr>
            <w:tcW w:w="3920" w:type="dxa"/>
            <w:vAlign w:val="bottom"/>
          </w:tcPr>
          <w:p>
            <w:pPr>
              <w:spacing w:after="0"/>
              <w:rPr>
                <w:sz w:val="17"/>
                <w:szCs w:val="17"/>
                <w:color w:val="auto"/>
              </w:rPr>
            </w:pPr>
          </w:p>
        </w:tc>
      </w:tr>
      <w:tr>
        <w:trPr>
          <w:trHeight w:val="237"/>
        </w:trPr>
        <w:tc>
          <w:tcPr>
            <w:tcW w:w="2940" w:type="dxa"/>
            <w:vAlign w:val="bottom"/>
          </w:tcPr>
          <w:p>
            <w:pPr>
              <w:spacing w:after="0"/>
              <w:rPr>
                <w:sz w:val="20"/>
                <w:szCs w:val="20"/>
                <w:color w:val="auto"/>
              </w:rPr>
            </w:pPr>
          </w:p>
        </w:tc>
        <w:tc>
          <w:tcPr>
            <w:tcW w:w="4380" w:type="dxa"/>
            <w:vAlign w:val="bottom"/>
            <w:gridSpan w:val="3"/>
          </w:tcPr>
          <w:p>
            <w:pPr>
              <w:jc w:val="center"/>
              <w:ind w:left="910"/>
              <w:spacing w:after="0"/>
              <w:rPr>
                <w:sz w:val="20"/>
                <w:szCs w:val="20"/>
                <w:color w:val="auto"/>
              </w:rPr>
            </w:pPr>
            <w:r>
              <w:rPr>
                <w:rFonts w:ascii="Arial" w:cs="Arial" w:eastAsia="Arial" w:hAnsi="Arial"/>
                <w:sz w:val="18"/>
                <w:szCs w:val="18"/>
                <w:color w:val="auto"/>
                <w:w w:val="90"/>
              </w:rPr>
              <w:t>(Name of Registrant as Specified in Charter)</w:t>
            </w:r>
          </w:p>
        </w:tc>
        <w:tc>
          <w:tcPr>
            <w:tcW w:w="3920" w:type="dxa"/>
            <w:vAlign w:val="bottom"/>
          </w:tcPr>
          <w:p>
            <w:pPr>
              <w:spacing w:after="0"/>
              <w:rPr>
                <w:sz w:val="20"/>
                <w:szCs w:val="20"/>
                <w:color w:val="auto"/>
              </w:rPr>
            </w:pPr>
          </w:p>
        </w:tc>
      </w:tr>
      <w:tr>
        <w:trPr>
          <w:trHeight w:val="432"/>
        </w:trPr>
        <w:tc>
          <w:tcPr>
            <w:tcW w:w="7320" w:type="dxa"/>
            <w:vAlign w:val="bottom"/>
            <w:gridSpan w:val="4"/>
          </w:tcPr>
          <w:p>
            <w:pPr>
              <w:spacing w:after="0"/>
              <w:rPr>
                <w:sz w:val="20"/>
                <w:szCs w:val="20"/>
                <w:color w:val="auto"/>
              </w:rPr>
            </w:pPr>
            <w:r>
              <w:rPr>
                <w:rFonts w:ascii="Arial" w:cs="Arial" w:eastAsia="Arial" w:hAnsi="Arial"/>
                <w:sz w:val="18"/>
                <w:szCs w:val="18"/>
                <w:color w:val="auto"/>
                <w:w w:val="92"/>
              </w:rPr>
              <w:t>has caused this notification to be signed on its behalf by the undersigned thereunto duly authorized.</w:t>
            </w:r>
          </w:p>
        </w:tc>
        <w:tc>
          <w:tcPr>
            <w:tcW w:w="3920" w:type="dxa"/>
            <w:vAlign w:val="bottom"/>
          </w:tcPr>
          <w:p>
            <w:pPr>
              <w:spacing w:after="0"/>
              <w:rPr>
                <w:sz w:val="24"/>
                <w:szCs w:val="24"/>
                <w:color w:val="auto"/>
              </w:rPr>
            </w:pPr>
          </w:p>
        </w:tc>
      </w:tr>
      <w:tr>
        <w:trPr>
          <w:trHeight w:val="439"/>
        </w:trPr>
        <w:tc>
          <w:tcPr>
            <w:tcW w:w="2940" w:type="dxa"/>
            <w:vAlign w:val="bottom"/>
          </w:tcPr>
          <w:p>
            <w:pPr>
              <w:spacing w:after="0"/>
              <w:rPr>
                <w:sz w:val="20"/>
                <w:szCs w:val="20"/>
                <w:color w:val="auto"/>
              </w:rPr>
            </w:pPr>
            <w:r>
              <w:rPr>
                <w:rFonts w:ascii="Arial" w:cs="Arial" w:eastAsia="Arial" w:hAnsi="Arial"/>
                <w:sz w:val="18"/>
                <w:szCs w:val="18"/>
                <w:color w:val="auto"/>
              </w:rPr>
              <w:t>Date: November 16, 2020</w:t>
            </w:r>
          </w:p>
        </w:tc>
        <w:tc>
          <w:tcPr>
            <w:tcW w:w="19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900" w:type="dxa"/>
            <w:vAlign w:val="bottom"/>
          </w:tcPr>
          <w:p>
            <w:pPr>
              <w:ind w:left="340"/>
              <w:spacing w:after="0"/>
              <w:rPr>
                <w:sz w:val="20"/>
                <w:szCs w:val="20"/>
                <w:color w:val="auto"/>
              </w:rPr>
            </w:pPr>
            <w:r>
              <w:rPr>
                <w:rFonts w:ascii="Arial" w:cs="Arial" w:eastAsia="Arial" w:hAnsi="Arial"/>
                <w:sz w:val="18"/>
                <w:szCs w:val="18"/>
                <w:color w:val="auto"/>
              </w:rPr>
              <w:t>By:</w:t>
            </w:r>
          </w:p>
        </w:tc>
        <w:tc>
          <w:tcPr>
            <w:tcW w:w="392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Timothy Evans</w:t>
            </w:r>
          </w:p>
        </w:tc>
      </w:tr>
      <w:tr>
        <w:trPr>
          <w:trHeight w:val="202"/>
        </w:trPr>
        <w:tc>
          <w:tcPr>
            <w:tcW w:w="2940" w:type="dxa"/>
            <w:vAlign w:val="bottom"/>
          </w:tcPr>
          <w:p>
            <w:pPr>
              <w:spacing w:after="0"/>
              <w:rPr>
                <w:sz w:val="17"/>
                <w:szCs w:val="17"/>
                <w:color w:val="auto"/>
              </w:rPr>
            </w:pPr>
          </w:p>
        </w:tc>
        <w:tc>
          <w:tcPr>
            <w:tcW w:w="190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900" w:type="dxa"/>
            <w:vAlign w:val="bottom"/>
          </w:tcPr>
          <w:p>
            <w:pPr>
              <w:ind w:left="340"/>
              <w:spacing w:after="0" w:line="201" w:lineRule="exact"/>
              <w:rPr>
                <w:sz w:val="20"/>
                <w:szCs w:val="20"/>
                <w:color w:val="auto"/>
              </w:rPr>
            </w:pPr>
            <w:r>
              <w:rPr>
                <w:rFonts w:ascii="Arial" w:cs="Arial" w:eastAsia="Arial" w:hAnsi="Arial"/>
                <w:sz w:val="18"/>
                <w:szCs w:val="18"/>
                <w:color w:val="auto"/>
              </w:rPr>
              <w:t>Name:</w:t>
            </w:r>
          </w:p>
        </w:tc>
        <w:tc>
          <w:tcPr>
            <w:tcW w:w="3920" w:type="dxa"/>
            <w:vAlign w:val="bottom"/>
          </w:tcPr>
          <w:p>
            <w:pPr>
              <w:spacing w:after="0" w:line="201" w:lineRule="exact"/>
              <w:rPr>
                <w:sz w:val="20"/>
                <w:szCs w:val="20"/>
                <w:color w:val="auto"/>
              </w:rPr>
            </w:pPr>
            <w:r>
              <w:rPr>
                <w:rFonts w:ascii="Arial" w:cs="Arial" w:eastAsia="Arial" w:hAnsi="Arial"/>
                <w:sz w:val="18"/>
                <w:szCs w:val="18"/>
                <w:color w:val="auto"/>
              </w:rPr>
              <w:t>Timothy Evans</w:t>
            </w:r>
          </w:p>
        </w:tc>
      </w:tr>
      <w:tr>
        <w:trPr>
          <w:trHeight w:val="230"/>
        </w:trPr>
        <w:tc>
          <w:tcPr>
            <w:tcW w:w="2940" w:type="dxa"/>
            <w:vAlign w:val="bottom"/>
          </w:tcPr>
          <w:p>
            <w:pPr>
              <w:spacing w:after="0"/>
              <w:rPr>
                <w:sz w:val="20"/>
                <w:szCs w:val="20"/>
                <w:color w:val="auto"/>
              </w:rPr>
            </w:pPr>
          </w:p>
        </w:tc>
        <w:tc>
          <w:tcPr>
            <w:tcW w:w="190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900" w:type="dxa"/>
            <w:vAlign w:val="bottom"/>
          </w:tcPr>
          <w:p>
            <w:pPr>
              <w:ind w:left="340"/>
              <w:spacing w:after="0"/>
              <w:rPr>
                <w:sz w:val="20"/>
                <w:szCs w:val="20"/>
                <w:color w:val="auto"/>
              </w:rPr>
            </w:pPr>
            <w:r>
              <w:rPr>
                <w:rFonts w:ascii="Arial" w:cs="Arial" w:eastAsia="Arial" w:hAnsi="Arial"/>
                <w:sz w:val="18"/>
                <w:szCs w:val="18"/>
                <w:color w:val="auto"/>
              </w:rPr>
              <w:t>Title:</w:t>
            </w:r>
          </w:p>
        </w:tc>
        <w:tc>
          <w:tcPr>
            <w:tcW w:w="3920" w:type="dxa"/>
            <w:vAlign w:val="bottom"/>
          </w:tcPr>
          <w:p>
            <w:pPr>
              <w:spacing w:after="0"/>
              <w:rPr>
                <w:sz w:val="20"/>
                <w:szCs w:val="20"/>
                <w:color w:val="auto"/>
              </w:rPr>
            </w:pPr>
            <w:r>
              <w:rPr>
                <w:rFonts w:ascii="Arial" w:cs="Arial" w:eastAsia="Arial" w:hAnsi="Arial"/>
                <w:sz w:val="18"/>
                <w:szCs w:val="18"/>
                <w:color w:val="auto"/>
              </w:rPr>
              <w:t>Chief Financial Officer</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137160</wp:posOffset>
            </wp:positionV>
            <wp:extent cx="7132320" cy="4457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445770"/>
                    </a:xfrm>
                    <a:prstGeom prst="rect">
                      <a:avLst/>
                    </a:prstGeom>
                    <a:noFill/>
                  </pic:spPr>
                </pic:pic>
              </a:graphicData>
            </a:graphic>
          </wp:anchor>
        </w:drawing>
      </w:r>
    </w:p>
    <w:p>
      <w:pPr>
        <w:spacing w:after="0" w:line="20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ATTENTION</w:t>
      </w:r>
    </w:p>
    <w:p>
      <w:pPr>
        <w:spacing w:after="0" w:line="225"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Intentional misstatements or omissions of fact constitute Federal Criminal Violations (see 18 U.S.C. 1001).</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6985</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89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lowerLetter"/>
      <w:start w:val="1"/>
    </w:lvl>
  </w:abstractNum>
  <w:abstractNum w:abstractNumId="2">
    <w:nsid w:val="19495CFF"/>
    <w:multiLevelType w:val="hybridMultilevel"/>
    <w:lvl w:ilvl="0">
      <w:lvlJc w:val="left"/>
      <w:lvlText w:val="(%1)"/>
      <w:numFmt w:val="decimal"/>
      <w:start w:val="1"/>
    </w:lvl>
    <w:lvl w:ilvl="1">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2020-11-17T14:13:50Z</dcterms:created>
  <dcterms:modified xsi:type="dcterms:W3CDTF">2020-11-17T14:13:50Z</dcterms:modified>
</cp:coreProperties>
</file>